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BAC6E" w14:textId="1ADC6ACA" w:rsidR="00CA1934" w:rsidRPr="003E28A6" w:rsidRDefault="0024054A" w:rsidP="00C16B04">
      <w:pPr>
        <w:widowControl w:val="0"/>
        <w:autoSpaceDE w:val="0"/>
        <w:autoSpaceDN w:val="0"/>
        <w:adjustRightInd w:val="0"/>
        <w:spacing w:after="0" w:line="240" w:lineRule="auto"/>
        <w:ind w:right="-20"/>
        <w:jc w:val="center"/>
        <w:rPr>
          <w:rFonts w:ascii="Lato Medium" w:hAnsi="Lato Medium" w:cs="Arial"/>
          <w:b/>
          <w:bCs/>
          <w:sz w:val="20"/>
          <w:szCs w:val="20"/>
        </w:rPr>
      </w:pPr>
      <w:r w:rsidRPr="00337047">
        <w:rPr>
          <w:rFonts w:ascii="Futura LT Pro Book" w:hAnsi="Futura LT Pro Book"/>
          <w:noProof/>
          <w:color w:val="52AE32"/>
        </w:rPr>
        <w:drawing>
          <wp:inline distT="0" distB="0" distL="0" distR="0" wp14:anchorId="14F9838E" wp14:editId="673A3A6A">
            <wp:extent cx="3042748" cy="11270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 logo_Action Contre la Faim.Action Against Hunger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0599" cy="1137367"/>
                    </a:xfrm>
                    <a:prstGeom prst="rect">
                      <a:avLst/>
                    </a:prstGeom>
                  </pic:spPr>
                </pic:pic>
              </a:graphicData>
            </a:graphic>
          </wp:inline>
        </w:drawing>
      </w:r>
    </w:p>
    <w:p w14:paraId="7C32AC47" w14:textId="77777777" w:rsidR="0024054A" w:rsidRPr="003E28A6" w:rsidRDefault="0024054A" w:rsidP="003E28A6">
      <w:pPr>
        <w:spacing w:line="240" w:lineRule="auto"/>
        <w:rPr>
          <w:rFonts w:ascii="Lato Medium" w:hAnsi="Lato Medium" w:cs="Arial"/>
          <w:b/>
          <w:bCs/>
          <w:sz w:val="20"/>
          <w:szCs w:val="20"/>
        </w:rPr>
      </w:pPr>
    </w:p>
    <w:p w14:paraId="3CF7E417" w14:textId="0BAB3F8F" w:rsidR="0024054A" w:rsidRPr="00337047" w:rsidRDefault="0024054A" w:rsidP="00CA1934">
      <w:pPr>
        <w:spacing w:line="240" w:lineRule="auto"/>
        <w:jc w:val="center"/>
        <w:rPr>
          <w:rFonts w:ascii="Futura LT Pro Book" w:hAnsi="Futura LT Pro Book" w:cs="Arial"/>
          <w:b/>
          <w:bCs/>
          <w:color w:val="005FB6" w:themeColor="accent2"/>
          <w:sz w:val="40"/>
          <w:szCs w:val="40"/>
        </w:rPr>
      </w:pPr>
      <w:r w:rsidRPr="00337047">
        <w:rPr>
          <w:rFonts w:ascii="Futura LT Pro Book" w:hAnsi="Futura LT Pro Book" w:cs="Arial"/>
          <w:b/>
          <w:bCs/>
          <w:color w:val="005FB6" w:themeColor="accent2"/>
          <w:sz w:val="40"/>
          <w:szCs w:val="40"/>
        </w:rPr>
        <w:t>TERMES DE REFERENCE :</w:t>
      </w:r>
    </w:p>
    <w:p w14:paraId="43B1F524" w14:textId="77777777" w:rsidR="0024054A" w:rsidRPr="00337047" w:rsidRDefault="0024054A" w:rsidP="00CA1934">
      <w:pPr>
        <w:spacing w:line="240" w:lineRule="auto"/>
        <w:jc w:val="center"/>
        <w:rPr>
          <w:rFonts w:ascii="Futura LT Pro Book" w:hAnsi="Futura LT Pro Book" w:cs="Arial"/>
          <w:b/>
          <w:bCs/>
          <w:color w:val="005FB6" w:themeColor="accent2"/>
          <w:sz w:val="40"/>
          <w:szCs w:val="40"/>
        </w:rPr>
      </w:pPr>
    </w:p>
    <w:p w14:paraId="50970B28" w14:textId="704CB5D0" w:rsidR="0024054A" w:rsidRDefault="0024054A" w:rsidP="00CA1934">
      <w:pPr>
        <w:spacing w:line="240" w:lineRule="auto"/>
        <w:jc w:val="center"/>
        <w:rPr>
          <w:rFonts w:ascii="Futura LT Pro Book" w:hAnsi="Futura LT Pro Book" w:cs="Arial"/>
          <w:b/>
          <w:bCs/>
          <w:color w:val="005FB6" w:themeColor="accent2"/>
          <w:sz w:val="40"/>
          <w:szCs w:val="40"/>
        </w:rPr>
      </w:pPr>
      <w:r w:rsidRPr="00337047">
        <w:rPr>
          <w:rFonts w:ascii="Futura LT Pro Book" w:hAnsi="Futura LT Pro Book" w:cs="Arial"/>
          <w:b/>
          <w:bCs/>
          <w:color w:val="005FB6" w:themeColor="accent2"/>
          <w:sz w:val="40"/>
          <w:szCs w:val="40"/>
        </w:rPr>
        <w:t xml:space="preserve">EVALUATION </w:t>
      </w:r>
      <w:r w:rsidR="00A25F97">
        <w:rPr>
          <w:rFonts w:ascii="Futura LT Pro Book" w:hAnsi="Futura LT Pro Book" w:cs="Arial"/>
          <w:b/>
          <w:bCs/>
          <w:color w:val="005FB6" w:themeColor="accent2"/>
          <w:sz w:val="40"/>
          <w:szCs w:val="40"/>
        </w:rPr>
        <w:t xml:space="preserve">MULTISECTORIELLE </w:t>
      </w:r>
      <w:r w:rsidRPr="00337047">
        <w:rPr>
          <w:rFonts w:ascii="Futura LT Pro Book" w:hAnsi="Futura LT Pro Book" w:cs="Arial"/>
          <w:b/>
          <w:bCs/>
          <w:color w:val="005FB6" w:themeColor="accent2"/>
          <w:sz w:val="40"/>
          <w:szCs w:val="40"/>
        </w:rPr>
        <w:t>SUR LES CONNAISSANCES, ATTITUDES ET PRATIQUES</w:t>
      </w:r>
      <w:r w:rsidR="00A25F97">
        <w:rPr>
          <w:rFonts w:ascii="Futura LT Pro Book" w:hAnsi="Futura LT Pro Book" w:cs="Arial"/>
          <w:b/>
          <w:bCs/>
          <w:color w:val="005FB6" w:themeColor="accent2"/>
          <w:sz w:val="40"/>
          <w:szCs w:val="40"/>
        </w:rPr>
        <w:t xml:space="preserve"> (CAP)</w:t>
      </w:r>
    </w:p>
    <w:p w14:paraId="74D2D590" w14:textId="77777777" w:rsidR="00A25F97" w:rsidRPr="00337047" w:rsidRDefault="00A25F97" w:rsidP="00CA1934">
      <w:pPr>
        <w:spacing w:line="240" w:lineRule="auto"/>
        <w:jc w:val="center"/>
        <w:rPr>
          <w:rFonts w:ascii="Futura LT Pro Book" w:hAnsi="Futura LT Pro Book" w:cs="Arial"/>
          <w:b/>
          <w:bCs/>
          <w:color w:val="005FB6" w:themeColor="accent2"/>
          <w:sz w:val="40"/>
          <w:szCs w:val="4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2"/>
        <w:gridCol w:w="6954"/>
      </w:tblGrid>
      <w:tr w:rsidR="00A25F97" w:rsidRPr="000A05F8" w14:paraId="27141994" w14:textId="77777777" w:rsidTr="003E28A6">
        <w:trPr>
          <w:trHeight w:val="640"/>
        </w:trPr>
        <w:tc>
          <w:tcPr>
            <w:tcW w:w="2088" w:type="dxa"/>
            <w:shd w:val="clear" w:color="auto" w:fill="52AE32" w:themeFill="accent1"/>
            <w:vAlign w:val="center"/>
          </w:tcPr>
          <w:p w14:paraId="57DCAD51" w14:textId="421B56C8" w:rsidR="00A25F97" w:rsidRPr="003E28A6" w:rsidRDefault="00A25F97" w:rsidP="003E28A6">
            <w:pPr>
              <w:pStyle w:val="Sansinterligne"/>
              <w:rPr>
                <w:rFonts w:ascii="Lato" w:hAnsi="Lato"/>
                <w:b/>
                <w:color w:val="FFFFFF" w:themeColor="background1"/>
                <w:sz w:val="24"/>
              </w:rPr>
            </w:pPr>
            <w:r w:rsidRPr="003E28A6">
              <w:rPr>
                <w:rFonts w:ascii="Lato" w:hAnsi="Lato"/>
                <w:b/>
                <w:color w:val="FFFFFF" w:themeColor="background1"/>
                <w:sz w:val="24"/>
              </w:rPr>
              <w:t>Mission</w:t>
            </w:r>
          </w:p>
        </w:tc>
        <w:tc>
          <w:tcPr>
            <w:tcW w:w="7154" w:type="dxa"/>
            <w:shd w:val="clear" w:color="auto" w:fill="B6E5A5" w:themeFill="accent5" w:themeFillTint="66"/>
            <w:vAlign w:val="center"/>
          </w:tcPr>
          <w:p w14:paraId="47F1ECBE" w14:textId="77777777" w:rsidR="00A25F97" w:rsidRPr="003E28A6" w:rsidRDefault="00A25F97" w:rsidP="003E28A6">
            <w:pPr>
              <w:pStyle w:val="Sansinterligne"/>
              <w:jc w:val="both"/>
              <w:rPr>
                <w:rFonts w:ascii="Lato" w:hAnsi="Lato"/>
              </w:rPr>
            </w:pPr>
            <w:r w:rsidRPr="003E28A6">
              <w:rPr>
                <w:rFonts w:ascii="Lato" w:hAnsi="Lato"/>
              </w:rPr>
              <w:t>Mission République Démocratique du Congo Action contre la Faim</w:t>
            </w:r>
          </w:p>
        </w:tc>
      </w:tr>
      <w:tr w:rsidR="00A25F97" w:rsidRPr="000A05F8" w14:paraId="38F5FAEA" w14:textId="77777777" w:rsidTr="003E28A6">
        <w:trPr>
          <w:trHeight w:val="850"/>
        </w:trPr>
        <w:tc>
          <w:tcPr>
            <w:tcW w:w="2088" w:type="dxa"/>
            <w:shd w:val="clear" w:color="auto" w:fill="52AE32" w:themeFill="accent1"/>
            <w:vAlign w:val="center"/>
          </w:tcPr>
          <w:p w14:paraId="49261377" w14:textId="77777777" w:rsidR="00A25F97" w:rsidRPr="003E28A6" w:rsidRDefault="00A25F97" w:rsidP="003E28A6">
            <w:pPr>
              <w:pStyle w:val="Sansinterligne"/>
              <w:rPr>
                <w:rFonts w:ascii="Lato" w:hAnsi="Lato"/>
                <w:b/>
                <w:color w:val="FFFFFF" w:themeColor="background1"/>
                <w:sz w:val="24"/>
              </w:rPr>
            </w:pPr>
            <w:r w:rsidRPr="003E28A6">
              <w:rPr>
                <w:rFonts w:ascii="Lato" w:hAnsi="Lato"/>
                <w:b/>
                <w:color w:val="FFFFFF" w:themeColor="background1"/>
                <w:sz w:val="24"/>
              </w:rPr>
              <w:t>Projet</w:t>
            </w:r>
          </w:p>
        </w:tc>
        <w:tc>
          <w:tcPr>
            <w:tcW w:w="7154" w:type="dxa"/>
            <w:shd w:val="clear" w:color="auto" w:fill="B6E5A5" w:themeFill="accent5" w:themeFillTint="66"/>
            <w:vAlign w:val="center"/>
          </w:tcPr>
          <w:p w14:paraId="54C587C2" w14:textId="63D72C0E" w:rsidR="00A25F97" w:rsidRPr="003E28A6" w:rsidRDefault="00A25F97" w:rsidP="003E28A6">
            <w:pPr>
              <w:pStyle w:val="Sansinterligne"/>
              <w:jc w:val="both"/>
              <w:rPr>
                <w:rFonts w:ascii="Lato" w:hAnsi="Lato"/>
              </w:rPr>
            </w:pPr>
            <w:r w:rsidRPr="003E28A6">
              <w:rPr>
                <w:rFonts w:ascii="Lato" w:hAnsi="Lato"/>
              </w:rPr>
              <w:t>Projet de résilience à la sécurité alimentaire et nutritionnelle dans la province d’Ituri (RDC), f</w:t>
            </w:r>
            <w:r w:rsidR="007E7698" w:rsidRPr="003E28A6">
              <w:rPr>
                <w:rFonts w:ascii="Lato" w:hAnsi="Lato"/>
              </w:rPr>
              <w:t>inancé par l’Union Européenne.</w:t>
            </w:r>
          </w:p>
        </w:tc>
      </w:tr>
      <w:tr w:rsidR="00A25F97" w:rsidRPr="00F71DBA" w14:paraId="5E4461EA" w14:textId="77777777" w:rsidTr="003E28A6">
        <w:trPr>
          <w:trHeight w:val="510"/>
        </w:trPr>
        <w:tc>
          <w:tcPr>
            <w:tcW w:w="2088" w:type="dxa"/>
            <w:shd w:val="clear" w:color="auto" w:fill="52AE32" w:themeFill="accent1"/>
            <w:vAlign w:val="center"/>
          </w:tcPr>
          <w:p w14:paraId="4FA7A9E4" w14:textId="77777777" w:rsidR="00A25F97" w:rsidRPr="003E28A6" w:rsidRDefault="00A25F97" w:rsidP="003E28A6">
            <w:pPr>
              <w:pStyle w:val="Sansinterligne"/>
              <w:rPr>
                <w:rFonts w:ascii="Lato" w:hAnsi="Lato"/>
                <w:b/>
                <w:color w:val="FFFFFF" w:themeColor="background1"/>
                <w:sz w:val="24"/>
              </w:rPr>
            </w:pPr>
            <w:r w:rsidRPr="003E28A6">
              <w:rPr>
                <w:rFonts w:ascii="Lato" w:hAnsi="Lato"/>
                <w:b/>
                <w:color w:val="FFFFFF" w:themeColor="background1"/>
                <w:sz w:val="24"/>
              </w:rPr>
              <w:t>Code projet</w:t>
            </w:r>
          </w:p>
        </w:tc>
        <w:tc>
          <w:tcPr>
            <w:tcW w:w="7154" w:type="dxa"/>
            <w:shd w:val="clear" w:color="auto" w:fill="B6E5A5" w:themeFill="accent5" w:themeFillTint="66"/>
            <w:vAlign w:val="center"/>
          </w:tcPr>
          <w:p w14:paraId="6E2D6339" w14:textId="77777777" w:rsidR="00A25F97" w:rsidRPr="003E28A6" w:rsidRDefault="00A25F97" w:rsidP="003E28A6">
            <w:pPr>
              <w:pStyle w:val="Sansinterligne"/>
              <w:jc w:val="both"/>
              <w:rPr>
                <w:rFonts w:ascii="Lato" w:hAnsi="Lato"/>
              </w:rPr>
            </w:pPr>
            <w:r w:rsidRPr="003E28A6">
              <w:rPr>
                <w:rFonts w:ascii="Lato" w:hAnsi="Lato"/>
              </w:rPr>
              <w:t>A3B</w:t>
            </w:r>
          </w:p>
        </w:tc>
      </w:tr>
      <w:tr w:rsidR="00A25F97" w:rsidRPr="00F71DBA" w14:paraId="31C30692" w14:textId="77777777" w:rsidTr="003E28A6">
        <w:trPr>
          <w:trHeight w:val="567"/>
        </w:trPr>
        <w:tc>
          <w:tcPr>
            <w:tcW w:w="2088" w:type="dxa"/>
            <w:shd w:val="clear" w:color="auto" w:fill="52AE32" w:themeFill="accent1"/>
            <w:vAlign w:val="center"/>
          </w:tcPr>
          <w:p w14:paraId="006D308B" w14:textId="77777777" w:rsidR="00A25F97" w:rsidRPr="003E28A6" w:rsidRDefault="00A25F97" w:rsidP="003E28A6">
            <w:pPr>
              <w:pStyle w:val="Sansinterligne"/>
              <w:rPr>
                <w:rFonts w:ascii="Lato" w:hAnsi="Lato"/>
                <w:b/>
                <w:color w:val="FFFFFF" w:themeColor="background1"/>
                <w:sz w:val="24"/>
              </w:rPr>
            </w:pPr>
            <w:r w:rsidRPr="003E28A6">
              <w:rPr>
                <w:rFonts w:ascii="Lato" w:hAnsi="Lato"/>
                <w:b/>
                <w:color w:val="FFFFFF" w:themeColor="background1"/>
                <w:sz w:val="24"/>
              </w:rPr>
              <w:t>Durée projet</w:t>
            </w:r>
          </w:p>
        </w:tc>
        <w:tc>
          <w:tcPr>
            <w:tcW w:w="7154" w:type="dxa"/>
            <w:shd w:val="clear" w:color="auto" w:fill="B6E5A5" w:themeFill="accent5" w:themeFillTint="66"/>
            <w:vAlign w:val="center"/>
          </w:tcPr>
          <w:p w14:paraId="77EBF280" w14:textId="77777777" w:rsidR="00A25F97" w:rsidRPr="003E28A6" w:rsidRDefault="00A25F97" w:rsidP="003E28A6">
            <w:pPr>
              <w:pStyle w:val="Sansinterligne"/>
              <w:jc w:val="both"/>
              <w:rPr>
                <w:rFonts w:ascii="Lato" w:hAnsi="Lato"/>
              </w:rPr>
            </w:pPr>
            <w:r w:rsidRPr="003E28A6">
              <w:rPr>
                <w:rFonts w:ascii="Lato" w:hAnsi="Lato"/>
              </w:rPr>
              <w:t>31/08/2020 au 30/08/2023 (36 mois)</w:t>
            </w:r>
          </w:p>
        </w:tc>
      </w:tr>
      <w:tr w:rsidR="00A25F97" w:rsidRPr="000A05F8" w14:paraId="2D23A31A" w14:textId="77777777" w:rsidTr="003E28A6">
        <w:trPr>
          <w:trHeight w:val="737"/>
        </w:trPr>
        <w:tc>
          <w:tcPr>
            <w:tcW w:w="2088" w:type="dxa"/>
            <w:shd w:val="clear" w:color="auto" w:fill="52AE32" w:themeFill="accent1"/>
            <w:vAlign w:val="center"/>
          </w:tcPr>
          <w:p w14:paraId="21DFEDFA" w14:textId="77777777" w:rsidR="00A25F97" w:rsidRPr="003E28A6" w:rsidRDefault="00A25F97" w:rsidP="003E28A6">
            <w:pPr>
              <w:pStyle w:val="Sansinterligne"/>
              <w:rPr>
                <w:rFonts w:ascii="Lato" w:hAnsi="Lato"/>
                <w:b/>
                <w:color w:val="FFFFFF" w:themeColor="background1"/>
                <w:sz w:val="24"/>
              </w:rPr>
            </w:pPr>
            <w:r w:rsidRPr="003E28A6">
              <w:rPr>
                <w:rFonts w:ascii="Lato" w:hAnsi="Lato"/>
                <w:b/>
                <w:color w:val="FFFFFF" w:themeColor="background1"/>
                <w:sz w:val="24"/>
              </w:rPr>
              <w:t>Point focal mission</w:t>
            </w:r>
          </w:p>
        </w:tc>
        <w:tc>
          <w:tcPr>
            <w:tcW w:w="7154" w:type="dxa"/>
            <w:shd w:val="clear" w:color="auto" w:fill="B6E5A5" w:themeFill="accent5" w:themeFillTint="66"/>
            <w:vAlign w:val="center"/>
          </w:tcPr>
          <w:p w14:paraId="26B9489E" w14:textId="77777777" w:rsidR="00A25F97" w:rsidRPr="003E28A6" w:rsidRDefault="00A25F97" w:rsidP="003E28A6">
            <w:pPr>
              <w:pStyle w:val="Sansinterligne"/>
              <w:jc w:val="both"/>
              <w:rPr>
                <w:rFonts w:ascii="Lato" w:hAnsi="Lato"/>
              </w:rPr>
            </w:pPr>
            <w:r w:rsidRPr="003E28A6">
              <w:rPr>
                <w:rFonts w:ascii="Lato" w:hAnsi="Lato"/>
              </w:rPr>
              <w:t>Adjointe Directeur Pays aux Programmes</w:t>
            </w:r>
          </w:p>
        </w:tc>
      </w:tr>
      <w:tr w:rsidR="00A25F97" w:rsidRPr="000A05F8" w14:paraId="23D5A5A3" w14:textId="77777777" w:rsidTr="003E28A6">
        <w:trPr>
          <w:trHeight w:val="2477"/>
        </w:trPr>
        <w:tc>
          <w:tcPr>
            <w:tcW w:w="2088" w:type="dxa"/>
            <w:shd w:val="clear" w:color="auto" w:fill="52AE32" w:themeFill="accent1"/>
            <w:vAlign w:val="center"/>
          </w:tcPr>
          <w:p w14:paraId="4B34DDC8" w14:textId="77777777" w:rsidR="00A25F97" w:rsidRPr="003E28A6" w:rsidRDefault="00A25F97" w:rsidP="003E28A6">
            <w:pPr>
              <w:pStyle w:val="Sansinterligne"/>
              <w:rPr>
                <w:rFonts w:ascii="Lato" w:hAnsi="Lato"/>
                <w:b/>
                <w:color w:val="FFFFFF" w:themeColor="background1"/>
                <w:sz w:val="24"/>
              </w:rPr>
            </w:pPr>
            <w:r w:rsidRPr="003E28A6">
              <w:rPr>
                <w:rFonts w:ascii="Lato" w:hAnsi="Lato"/>
                <w:b/>
                <w:color w:val="FFFFFF" w:themeColor="background1"/>
                <w:sz w:val="24"/>
              </w:rPr>
              <w:t>Conditions</w:t>
            </w:r>
          </w:p>
          <w:p w14:paraId="462D2A7B" w14:textId="77777777" w:rsidR="00A25F97" w:rsidRPr="003E28A6" w:rsidRDefault="00A25F97" w:rsidP="003E28A6">
            <w:pPr>
              <w:pStyle w:val="Sansinterligne"/>
              <w:rPr>
                <w:rFonts w:ascii="Lato" w:hAnsi="Lato"/>
                <w:b/>
                <w:bCs/>
                <w:color w:val="FFFFFF" w:themeColor="background1"/>
                <w:sz w:val="24"/>
              </w:rPr>
            </w:pPr>
          </w:p>
        </w:tc>
        <w:tc>
          <w:tcPr>
            <w:tcW w:w="7154" w:type="dxa"/>
            <w:shd w:val="clear" w:color="auto" w:fill="B6E5A5" w:themeFill="accent5" w:themeFillTint="66"/>
            <w:vAlign w:val="center"/>
          </w:tcPr>
          <w:p w14:paraId="4DC38EF1" w14:textId="343A5E07" w:rsidR="00A25F97" w:rsidRPr="003E28A6" w:rsidRDefault="00A25F97">
            <w:pPr>
              <w:jc w:val="both"/>
              <w:rPr>
                <w:rFonts w:ascii="Lato" w:hAnsi="Lato"/>
              </w:rPr>
            </w:pPr>
            <w:r w:rsidRPr="003E28A6">
              <w:rPr>
                <w:rFonts w:ascii="Lato" w:hAnsi="Lato"/>
              </w:rPr>
              <w:t>Le forfait alloué à cette consultance comprend les coûts professionnels, administratifs, de perdi</w:t>
            </w:r>
            <w:r w:rsidR="00E96E22">
              <w:rPr>
                <w:rFonts w:ascii="Lato" w:hAnsi="Lato"/>
              </w:rPr>
              <w:t xml:space="preserve">em et de transport </w:t>
            </w:r>
            <w:r w:rsidR="00E96E22" w:rsidRPr="003E28A6">
              <w:rPr>
                <w:rFonts w:ascii="Lato" w:hAnsi="Lato"/>
              </w:rPr>
              <w:t>du</w:t>
            </w:r>
            <w:r w:rsidRPr="003E28A6">
              <w:rPr>
                <w:rFonts w:ascii="Lato" w:hAnsi="Lato"/>
              </w:rPr>
              <w:t xml:space="preserve"> consultant. Le.la consultant.e sera responsable d’organiser son </w:t>
            </w:r>
            <w:r w:rsidR="00E96E22">
              <w:rPr>
                <w:rFonts w:ascii="Lato" w:hAnsi="Lato"/>
              </w:rPr>
              <w:t>voyage aller-retour</w:t>
            </w:r>
            <w:r w:rsidRPr="003E28A6">
              <w:rPr>
                <w:rFonts w:ascii="Lato" w:hAnsi="Lato"/>
              </w:rPr>
              <w:t xml:space="preserve"> et de contracter une assurance personnelle. </w:t>
            </w:r>
          </w:p>
          <w:p w14:paraId="624FA0B8" w14:textId="77777777" w:rsidR="00A25F97" w:rsidRPr="003E28A6" w:rsidRDefault="00A25F97">
            <w:pPr>
              <w:jc w:val="both"/>
              <w:rPr>
                <w:rFonts w:ascii="Lato" w:hAnsi="Lato"/>
              </w:rPr>
            </w:pPr>
            <w:r w:rsidRPr="003E28A6">
              <w:rPr>
                <w:rFonts w:ascii="Lato" w:hAnsi="Lato"/>
              </w:rPr>
              <w:t xml:space="preserve">Les coûts logistiques (voyages intra RDC, formation &amp; paiement des enquêteurs) seront sous la responsabilité d’Action contre la Faim. </w:t>
            </w:r>
          </w:p>
        </w:tc>
      </w:tr>
    </w:tbl>
    <w:p w14:paraId="1A4E8438" w14:textId="76A0BC6D" w:rsidR="00D51224" w:rsidRPr="00337047" w:rsidRDefault="00D51224" w:rsidP="003E28A6">
      <w:pPr>
        <w:spacing w:line="240" w:lineRule="auto"/>
        <w:rPr>
          <w:rFonts w:ascii="Futura LT Pro Book" w:hAnsi="Futura LT Pro Book" w:cs="Arial"/>
          <w:b/>
          <w:color w:val="005FB6"/>
          <w:sz w:val="44"/>
          <w:szCs w:val="44"/>
        </w:rPr>
      </w:pPr>
    </w:p>
    <w:p w14:paraId="0F69870E" w14:textId="6097235F" w:rsidR="00D51224" w:rsidRPr="00337047" w:rsidRDefault="0024054A" w:rsidP="004F1EFD">
      <w:pPr>
        <w:spacing w:line="240" w:lineRule="auto"/>
        <w:jc w:val="right"/>
        <w:rPr>
          <w:rFonts w:ascii="Futura LT Pro Book" w:hAnsi="Futura LT Pro Book" w:cs="Arial"/>
          <w:b/>
          <w:color w:val="005FB6"/>
          <w:sz w:val="30"/>
          <w:szCs w:val="30"/>
        </w:rPr>
      </w:pPr>
      <w:r w:rsidRPr="00337047">
        <w:rPr>
          <w:rFonts w:ascii="Futura LT Pro Book" w:hAnsi="Futura LT Pro Book" w:cs="Arial"/>
          <w:b/>
          <w:color w:val="005FB6"/>
          <w:sz w:val="30"/>
          <w:szCs w:val="30"/>
        </w:rPr>
        <w:t xml:space="preserve">Financé par : </w:t>
      </w:r>
    </w:p>
    <w:p w14:paraId="516D5173" w14:textId="7FDF01B7" w:rsidR="000127C7" w:rsidRPr="00337047" w:rsidRDefault="004F1EFD" w:rsidP="003E28A6">
      <w:pPr>
        <w:spacing w:line="240" w:lineRule="auto"/>
        <w:jc w:val="center"/>
        <w:rPr>
          <w:rFonts w:ascii="Futura LT Pro Book" w:eastAsiaTheme="majorEastAsia" w:hAnsi="Futura LT Pro Book" w:cstheme="majorBidi"/>
          <w:b/>
          <w:bCs/>
          <w:color w:val="005FB6"/>
          <w:sz w:val="28"/>
          <w:szCs w:val="28"/>
        </w:rPr>
      </w:pPr>
      <w:r w:rsidRPr="00337047">
        <w:rPr>
          <w:rFonts w:ascii="Lato Medium" w:hAnsi="Lato Medium" w:cs="Tahoma"/>
          <w:noProof/>
          <w:color w:val="002060"/>
        </w:rPr>
        <w:drawing>
          <wp:anchor distT="0" distB="0" distL="114300" distR="114300" simplePos="0" relativeHeight="251659264" behindDoc="1" locked="0" layoutInCell="1" allowOverlap="1" wp14:anchorId="7060A9C6" wp14:editId="762BDCFE">
            <wp:simplePos x="0" y="0"/>
            <wp:positionH relativeFrom="column">
              <wp:posOffset>4381500</wp:posOffset>
            </wp:positionH>
            <wp:positionV relativeFrom="page">
              <wp:posOffset>8596630</wp:posOffset>
            </wp:positionV>
            <wp:extent cx="1685925" cy="1495425"/>
            <wp:effectExtent l="0" t="0" r="9525" b="9525"/>
            <wp:wrapTight wrapText="bothSides">
              <wp:wrapPolygon edited="0">
                <wp:start x="0" y="0"/>
                <wp:lineTo x="0" y="21462"/>
                <wp:lineTo x="21478" y="21462"/>
                <wp:lineTo x="21478" y="0"/>
                <wp:lineTo x="0" y="0"/>
              </wp:wrapPolygon>
            </wp:wrapTight>
            <wp:docPr id="17" name="Picture 13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echo logo"/>
                    <pic:cNvPicPr>
                      <a:picLocks noChangeAspect="1" noChangeArrowheads="1"/>
                    </pic:cNvPicPr>
                  </pic:nvPicPr>
                  <pic:blipFill>
                    <a:blip r:embed="rId12" cstate="print"/>
                    <a:srcRect/>
                    <a:stretch>
                      <a:fillRect/>
                    </a:stretch>
                  </pic:blipFill>
                  <pic:spPr bwMode="auto">
                    <a:xfrm>
                      <a:off x="0" y="0"/>
                      <a:ext cx="1685925" cy="1495425"/>
                    </a:xfrm>
                    <a:prstGeom prst="rect">
                      <a:avLst/>
                    </a:prstGeom>
                    <a:noFill/>
                    <a:ln w="9525">
                      <a:noFill/>
                      <a:miter lim="800000"/>
                      <a:headEnd/>
                      <a:tailEnd/>
                    </a:ln>
                  </pic:spPr>
                </pic:pic>
              </a:graphicData>
            </a:graphic>
          </wp:anchor>
        </w:drawing>
      </w:r>
      <w:bookmarkStart w:id="0" w:name="_Toc480749868"/>
    </w:p>
    <w:bookmarkEnd w:id="0"/>
    <w:p w14:paraId="69DA998B" w14:textId="16122481" w:rsidR="00CA1934" w:rsidRPr="00337047" w:rsidRDefault="004F1EFD" w:rsidP="004F1EFD">
      <w:pPr>
        <w:pStyle w:val="Titre1"/>
        <w:numPr>
          <w:ilvl w:val="0"/>
          <w:numId w:val="11"/>
        </w:numPr>
        <w:spacing w:before="100" w:beforeAutospacing="1" w:after="100" w:afterAutospacing="1" w:line="264" w:lineRule="auto"/>
        <w:ind w:left="0" w:firstLine="0"/>
        <w:rPr>
          <w:rFonts w:ascii="Futura LT Pro Book" w:eastAsia="Times New Roman" w:hAnsi="Futura LT Pro Book" w:cs="Times New Roman"/>
          <w:iCs/>
          <w:caps/>
          <w:color w:val="52AE32" w:themeColor="accent1"/>
          <w:kern w:val="36"/>
          <w:sz w:val="40"/>
          <w:szCs w:val="40"/>
          <w:lang w:eastAsia="es-ES"/>
        </w:rPr>
      </w:pPr>
      <w:r w:rsidRPr="00337047">
        <w:rPr>
          <w:rFonts w:ascii="Futura LT Pro Book" w:eastAsia="Times New Roman" w:hAnsi="Futura LT Pro Book" w:cs="Times New Roman"/>
          <w:iCs/>
          <w:caps/>
          <w:color w:val="52AE32" w:themeColor="accent1"/>
          <w:kern w:val="36"/>
          <w:sz w:val="40"/>
          <w:szCs w:val="40"/>
          <w:lang w:eastAsia="es-ES"/>
        </w:rPr>
        <w:lastRenderedPageBreak/>
        <w:t>Contexte et justification</w:t>
      </w:r>
    </w:p>
    <w:p w14:paraId="12E70AA5" w14:textId="44F75144" w:rsidR="004F1EFD" w:rsidRPr="00337047" w:rsidRDefault="004F1EFD" w:rsidP="006D689E">
      <w:pPr>
        <w:pStyle w:val="Sous-titreLatoB"/>
        <w:numPr>
          <w:ilvl w:val="1"/>
          <w:numId w:val="11"/>
        </w:numPr>
        <w:rPr>
          <w:lang w:val="fr-FR"/>
        </w:rPr>
      </w:pPr>
      <w:r w:rsidRPr="00337047">
        <w:rPr>
          <w:lang w:val="fr-FR"/>
        </w:rPr>
        <w:t>Action Contre La Faim</w:t>
      </w:r>
    </w:p>
    <w:p w14:paraId="33994447" w14:textId="77777777" w:rsidR="004F1EFD" w:rsidRPr="00337047" w:rsidRDefault="004F1EFD" w:rsidP="004F1EFD">
      <w:pPr>
        <w:spacing w:line="264" w:lineRule="auto"/>
        <w:jc w:val="both"/>
        <w:rPr>
          <w:rFonts w:ascii="Lato" w:eastAsiaTheme="minorHAnsi" w:hAnsi="Lato"/>
          <w:lang w:eastAsia="en-US"/>
        </w:rPr>
      </w:pPr>
      <w:r w:rsidRPr="00337047">
        <w:rPr>
          <w:rFonts w:ascii="Lato" w:eastAsiaTheme="minorHAnsi" w:hAnsi="Lato"/>
          <w:lang w:eastAsia="en-US"/>
        </w:rPr>
        <w:t>Action contre la Faim est une Organisation Non Gouvernementale professionnelle qui a pour vocation de lutter contre la faim dans le monde depuis 1979 et qui intervient dans 47 pays dont 24 pays africains. Action contre la Faim a pour mandat d’éradiquer la faim de manière intégrale et durable.  Pour mener ce combat global contre la faim, notre action repose sur sept domaines d’expertise : sécurité alimentaire et moyens d’existence ; nutrition et santé ; eau, assainissement et hygiène ; santé mentale et pratiques de soin, genre et protection ; plaidoyer ; gestion des risques et désastres ; recherche et innovations.</w:t>
      </w:r>
    </w:p>
    <w:p w14:paraId="0B7B583D" w14:textId="7A0B5D26" w:rsidR="006D689E" w:rsidRPr="00337047" w:rsidRDefault="004F1EFD" w:rsidP="004F1EFD">
      <w:pPr>
        <w:spacing w:line="264" w:lineRule="auto"/>
        <w:jc w:val="both"/>
        <w:rPr>
          <w:rFonts w:ascii="Lato" w:eastAsiaTheme="minorHAnsi" w:hAnsi="Lato"/>
          <w:lang w:eastAsia="en-US"/>
        </w:rPr>
      </w:pPr>
      <w:r w:rsidRPr="00337047">
        <w:rPr>
          <w:rFonts w:ascii="Lato" w:eastAsiaTheme="minorHAnsi" w:hAnsi="Lato"/>
          <w:lang w:eastAsia="en-US"/>
        </w:rPr>
        <w:t xml:space="preserve">Action contre la Faim intervient en République Démocratique du Congo (RDC) depuis 1997 et est actuellement présente dans les provinces du Nord Kivu, Ituri, Equateur, Kinshasa, Kasaï, tout en mettant en œuvres des activités de réponse d’urgence nutritionnelles dans l’intégralité du pays. </w:t>
      </w:r>
    </w:p>
    <w:p w14:paraId="21017C48" w14:textId="77777777" w:rsidR="006D689E" w:rsidRPr="00247326" w:rsidRDefault="006D689E" w:rsidP="004F1EFD">
      <w:pPr>
        <w:spacing w:line="264" w:lineRule="auto"/>
        <w:jc w:val="both"/>
        <w:rPr>
          <w:rFonts w:ascii="Lato" w:eastAsiaTheme="minorHAnsi" w:hAnsi="Lato"/>
          <w:lang w:eastAsia="en-US"/>
        </w:rPr>
      </w:pPr>
    </w:p>
    <w:p w14:paraId="4454271E" w14:textId="7DC980D8" w:rsidR="006D689E" w:rsidRPr="00337047" w:rsidRDefault="006D689E" w:rsidP="006D689E">
      <w:pPr>
        <w:pStyle w:val="Paragraphedeliste"/>
        <w:numPr>
          <w:ilvl w:val="1"/>
          <w:numId w:val="11"/>
        </w:numPr>
        <w:jc w:val="both"/>
        <w:rPr>
          <w:rFonts w:ascii="Lato Semibold" w:hAnsi="Lato Semibold" w:cstheme="majorBidi"/>
          <w:color w:val="005FB6" w:themeColor="accent2"/>
          <w:sz w:val="32"/>
          <w:szCs w:val="22"/>
          <w:lang w:val="fr-FR" w:eastAsia="es-ES"/>
        </w:rPr>
      </w:pPr>
      <w:r w:rsidRPr="00337047">
        <w:rPr>
          <w:rFonts w:ascii="Lato Semibold" w:hAnsi="Lato Semibold" w:cstheme="majorBidi"/>
          <w:color w:val="005FB6" w:themeColor="accent2"/>
          <w:sz w:val="32"/>
          <w:szCs w:val="22"/>
          <w:lang w:val="fr-FR" w:eastAsia="es-ES"/>
        </w:rPr>
        <w:t>P</w:t>
      </w:r>
      <w:r w:rsidRPr="00337047">
        <w:rPr>
          <w:rFonts w:ascii="Lato Semibold" w:hAnsi="Lato Semibold" w:cstheme="majorBidi"/>
          <w:color w:val="005FB6" w:themeColor="accent2"/>
          <w:sz w:val="32"/>
          <w:lang w:val="fr-FR" w:eastAsia="es-ES"/>
        </w:rPr>
        <w:t>rojet dans lequel s’inscrit l’enquête CAP</w:t>
      </w:r>
    </w:p>
    <w:p w14:paraId="610AF65C" w14:textId="6C009028" w:rsidR="006D689E" w:rsidRPr="00337047" w:rsidRDefault="006D689E" w:rsidP="006D689E">
      <w:pPr>
        <w:jc w:val="both"/>
        <w:rPr>
          <w:rFonts w:eastAsiaTheme="minorHAnsi"/>
          <w:lang w:eastAsia="en-US"/>
        </w:rPr>
      </w:pPr>
      <w:r w:rsidRPr="00337047">
        <w:rPr>
          <w:rFonts w:eastAsiaTheme="minorHAnsi"/>
          <w:lang w:eastAsia="en-US"/>
        </w:rPr>
        <w:t xml:space="preserve">Le « Projet de résilience à la sécurité alimentaire et nutritionnelle dans la province d’Ituri (RDC) », financé par l’Union Européenne, a une durée totale de 36 mois (31/08/2020 au 30/08/2023). </w:t>
      </w:r>
    </w:p>
    <w:p w14:paraId="3DB8DBC9" w14:textId="6CA73AE0" w:rsidR="006D689E" w:rsidRPr="00337047" w:rsidRDefault="006D689E" w:rsidP="006D689E">
      <w:pPr>
        <w:jc w:val="both"/>
        <w:rPr>
          <w:rFonts w:eastAsiaTheme="minorHAnsi"/>
          <w:lang w:eastAsia="en-US"/>
        </w:rPr>
      </w:pPr>
      <w:r w:rsidRPr="00337047">
        <w:rPr>
          <w:rFonts w:eastAsiaTheme="minorHAnsi"/>
          <w:lang w:eastAsia="en-US"/>
        </w:rPr>
        <w:t xml:space="preserve">La présente action est alignée à l’objectif global de l’appel à proposition n° FED/2020/042-377 « Action de résilience pour la sécurité alimentaire et nutritionnelle en République démocratique du Congo » qui est d’améliorer la sécurité alimentaire et nutritionnelle des populations en République Démocratique du Congo (RDC), et en particulier des ménages les plus pauvres, des femmes et des enfants. Dans l’Est de la RDC et plus particulièrement dans la province d’Ituri, les causes de l’insécurité alimentaire et nutritionnelle sont multiples et diverses. En effet, si les chocs d’origine climatique - sécheresse, inondations, invasions acridiennes, etc. - jouent un rôle secondaire dans la vulnérabilité à l’insécurité alimentaire et nutritionnelle des populations d’Ituri, la succession des conflits, les tensions inter et intracommunautaires impactent négativement les capacités de production et les moyens d’existence des communautés. Ces différentes crises d’origine humaine combinées aux différentes épidémies - choléra, maladie à virus Ebola (MVE), COVID-19, rougeole - ont exacerbé la pauvreté structurelle des populations d’Ituri principalement dépendantes de l’agriculture pour satisfaire leurs besoins alimentaires et non alimentaires - santé, éducation, hygiène, etc., et aussi accentué la détresse psychologique des communautés affectant leurs capacités à faire face à un choc. Ainsi, la présente action vise à assurer, à travers une approche intégrée et multisectorielle, la sécurité alimentaire et nutritionnelle des ménages les plus vulnérables par la prévention de la malnutrition et l’amélioration de l’accès aux services d’eau, hygiène et assainissement (EHA) ainsi que par la relance d’activités agricoles et économiques.  </w:t>
      </w:r>
    </w:p>
    <w:p w14:paraId="77D47CC4" w14:textId="77777777" w:rsidR="006D689E" w:rsidRPr="00337047" w:rsidRDefault="006D689E" w:rsidP="006D689E">
      <w:pPr>
        <w:jc w:val="both"/>
        <w:rPr>
          <w:rFonts w:eastAsiaTheme="minorHAnsi"/>
          <w:lang w:eastAsia="en-US"/>
        </w:rPr>
      </w:pPr>
      <w:r w:rsidRPr="00337047">
        <w:rPr>
          <w:rFonts w:eastAsiaTheme="minorHAnsi"/>
          <w:lang w:eastAsia="en-US"/>
        </w:rPr>
        <w:t>L’action est également en phase avec les trois objectifs spécifiques du présent appel à proposition, à savoir :</w:t>
      </w:r>
    </w:p>
    <w:p w14:paraId="3C6F6CF1" w14:textId="668A9663" w:rsidR="006D689E" w:rsidRPr="00337047" w:rsidRDefault="006D689E" w:rsidP="006D689E">
      <w:pPr>
        <w:jc w:val="both"/>
        <w:rPr>
          <w:rFonts w:eastAsiaTheme="minorHAnsi"/>
          <w:lang w:eastAsia="en-US"/>
        </w:rPr>
      </w:pPr>
      <w:r w:rsidRPr="00337047">
        <w:rPr>
          <w:rFonts w:eastAsiaTheme="minorHAnsi"/>
          <w:b/>
          <w:bCs/>
          <w:color w:val="EE7203" w:themeColor="accent4"/>
          <w:lang w:eastAsia="en-US"/>
        </w:rPr>
        <w:t>OS1 : La prévention de la malnutrition des populations les plus vulnérables (enfants de moins de 5 ans, femmes enceintes et allaitantes) est renforcée.</w:t>
      </w:r>
      <w:r w:rsidRPr="00337047">
        <w:rPr>
          <w:rFonts w:eastAsiaTheme="minorHAnsi"/>
          <w:color w:val="EE7203" w:themeColor="accent4"/>
          <w:lang w:eastAsia="en-US"/>
        </w:rPr>
        <w:t xml:space="preserve"> </w:t>
      </w:r>
      <w:r w:rsidRPr="00337047">
        <w:rPr>
          <w:rFonts w:eastAsiaTheme="minorHAnsi"/>
          <w:lang w:eastAsia="en-US"/>
        </w:rPr>
        <w:t xml:space="preserve">La présente action prévoit de renforcer la prévention de la malnutrition pour les groupes vulnérables tels que les enfants de moins de 5 ans et les femmes enceintes et allaitantes (FEFA) à travers une approche communautaire (i) en améliorant l’accès à l’eau potable, l’hygiène et l’assainissement (EHA) via </w:t>
      </w:r>
      <w:r w:rsidRPr="00337047">
        <w:rPr>
          <w:rFonts w:eastAsiaTheme="minorHAnsi"/>
          <w:lang w:eastAsia="en-US"/>
        </w:rPr>
        <w:lastRenderedPageBreak/>
        <w:t>la construction ou la réhabilitation de points d’eau et la promotion de l’approche Assainissement Total Piloté par la Communauté (ATPC) ; (ii) en renforçant l’accès aux services EHA dans les structures de santé conformément aux normes de prévention et de contrôle des infections (PCI) ; (iii) en promouvant la mobilisation communautaire pour la nutrition et l’éducation sanitaire et (iv) en améliorant les pratiques liées à l’alimentation des FEFA ainsi que celle du nourrisson et du jeune enfant (ANJE).</w:t>
      </w:r>
    </w:p>
    <w:p w14:paraId="08910E7B" w14:textId="6DB84D45" w:rsidR="006D689E" w:rsidRPr="00337047" w:rsidRDefault="006D689E" w:rsidP="006D689E">
      <w:pPr>
        <w:jc w:val="both"/>
        <w:rPr>
          <w:rFonts w:eastAsiaTheme="minorHAnsi"/>
          <w:lang w:eastAsia="en-US"/>
        </w:rPr>
      </w:pPr>
      <w:r w:rsidRPr="00337047">
        <w:rPr>
          <w:rFonts w:eastAsiaTheme="minorHAnsi"/>
          <w:b/>
          <w:bCs/>
          <w:color w:val="EE7203" w:themeColor="accent4"/>
          <w:lang w:eastAsia="en-US"/>
        </w:rPr>
        <w:t xml:space="preserve">OS2 : La structuration des organisations paysannes est renforcée. </w:t>
      </w:r>
      <w:r w:rsidRPr="00337047">
        <w:rPr>
          <w:rFonts w:eastAsiaTheme="minorHAnsi"/>
          <w:lang w:eastAsia="en-US"/>
        </w:rPr>
        <w:t>La province d’Ituri dispose d’un fort potentiel de production agricole - végétale, animale et halieutique - et économique, dont la valorisation aura un impact sur la réduction de la pauvreté et la lutte contre l’insécurité alimentaire et nutritionnelle. Pour autant, le territoire reste confronté aux problématiques liées à la résurgence d’épisodes de violence et aux perturbations climatiques. De plus, le territoire observe un faible accès aux infrastructures rurales de base, un manque d’organisation des acteurs des filières agricoles, de même qu’une faible capacité de financement des opérateurs agricoles, des difficultés d’accès au crédit agricole et enfin, une inadéquation de l’offre de services de recherche et de vulgarisation agricole par rapport aux besoins d’appui-conseil des organisations paysannes et autres opérateurs du secteur agricole. Ainsi, l’action prévoit (i) la construction ou la réhabilitation des infrastructures rurales telles que les routes de desserte agricole, les magasins de stockage, les hangars des marchés, etc. ; (ii) la structuration des petits producteurs en organisations paysannes avec un accent sur le renforcement de leurs capacités techniques de production ; (iii) la promotion des groupes d’épargne et de crédit accompagnée du renforcement de leurs capacités en terme de gestion associative et les  Activités Génératrices de Revenus (AGR), etc.</w:t>
      </w:r>
    </w:p>
    <w:p w14:paraId="3FE53DEE" w14:textId="77777777" w:rsidR="006D689E" w:rsidRPr="00337047" w:rsidRDefault="006D689E" w:rsidP="006D689E">
      <w:pPr>
        <w:jc w:val="both"/>
        <w:rPr>
          <w:rFonts w:eastAsiaTheme="minorHAnsi"/>
          <w:lang w:eastAsia="en-US"/>
        </w:rPr>
      </w:pPr>
      <w:r w:rsidRPr="00337047">
        <w:rPr>
          <w:rFonts w:eastAsiaTheme="minorHAnsi"/>
          <w:b/>
          <w:bCs/>
          <w:color w:val="EE7203" w:themeColor="accent4"/>
          <w:lang w:eastAsia="en-US"/>
        </w:rPr>
        <w:t>OS3 : Les rendements des productions agricoles ainsi que la diversification des productions des ménages vulnérables (ménages très pauvres et pauvres, enfants de moins de 5 ans et femmes enceintes et/ou allaitantes) sont augmentés de façon durable.</w:t>
      </w:r>
      <w:r w:rsidRPr="00337047">
        <w:rPr>
          <w:rFonts w:eastAsiaTheme="minorHAnsi"/>
          <w:lang w:eastAsia="en-US"/>
        </w:rPr>
        <w:t xml:space="preserve"> La production agricole et la diversification des cultures en Ituri sont confrontées à des facteurs qui limitent l’amélioration du niveau des rendements agricoles surtout pour les ménages vulnérables. En effet, le territoire observe une faible productivité des filières végétales, animales et halieutiques liée au manque d’intrants agricoles à haut rendement ainsi qu’au manque de formation sur les techniques de production. De plus, la détérioration des conditions de vie en milieu rural provoque un exode élevé par manque d’opportunités de travail. Afin de faire face à ces différents défis, la présente action vise à améliorer les rendements agricoles, notamment ceux des ménages pauvres et très pauvres à travers : (i) l’amélioration de l’accès des ménages vulnérables aux intrants agricoles, matériels, équipement de production et à l’encadrement technique de proximité, (ii) la promotion de la diversification de la production agricole, (iii) la valorisation des filières agricoles porteuses et l’amélioration du revenu agricole et enfin (iv) l’appui psychosocial des ménages bénéficiaires permettra de renforcer leurs capacités de résilience. Il s’agit ainsi d’améliorer la disponibilité et l’accessibilité à une alimentation de qualité et diversifiée notamment pour les ménages les plus vulnérables. </w:t>
      </w:r>
    </w:p>
    <w:p w14:paraId="5885A49B" w14:textId="77777777" w:rsidR="006D689E" w:rsidRPr="00337047" w:rsidRDefault="006D689E" w:rsidP="006D689E">
      <w:pPr>
        <w:jc w:val="both"/>
        <w:rPr>
          <w:rFonts w:eastAsiaTheme="minorHAnsi"/>
          <w:lang w:eastAsia="en-US"/>
        </w:rPr>
      </w:pPr>
      <w:r w:rsidRPr="00337047">
        <w:rPr>
          <w:rFonts w:eastAsiaTheme="minorHAnsi"/>
          <w:lang w:eastAsia="en-US"/>
        </w:rPr>
        <w:t xml:space="preserve">Par ailleurs, dans un contexte sanitaire aggravé depuis le 10 mars 2020 avec l’apparition de la maladie  COVID-19 en RDC, l’action vise à contribuer aux objectifs stratégiques du Plan de Réponse Humanitaire COVID-19 ayant un impact sur la sécurité alimentaire et nutritionnelle des ménages vulnérables : OS12 « Renforcer les activités EHA et les mesures de prévention et de contrôle des infections dans les centres de santé et dans la communauté » ; OS21 « Préserver la capacité des personnes les plus vulnérables au COVID-19 à satisfaire leur consommation alimentaire et leurs moyens d’existence grâce à des activités productives et à l’accès aux filets de sécurité sociale et l’aide humanitaire » et OS32 « Renforcer la sensibilisation et la compréhension de l’épidémie de COVID-19 au niveau communautaire pour </w:t>
      </w:r>
      <w:r w:rsidRPr="00337047">
        <w:rPr>
          <w:rFonts w:eastAsiaTheme="minorHAnsi"/>
          <w:lang w:eastAsia="en-US"/>
        </w:rPr>
        <w:lastRenderedPageBreak/>
        <w:t>prévenir, anticiper et traiter les risques de violence, de discrimination, de marginalisation et de xénophobie »</w:t>
      </w:r>
      <w:r w:rsidRPr="00337047">
        <w:rPr>
          <w:rFonts w:eastAsiaTheme="minorHAnsi"/>
          <w:vertAlign w:val="superscript"/>
          <w:lang w:eastAsia="en-US"/>
        </w:rPr>
        <w:footnoteReference w:id="1"/>
      </w:r>
      <w:r w:rsidRPr="00337047">
        <w:rPr>
          <w:rFonts w:eastAsiaTheme="minorHAnsi"/>
          <w:lang w:eastAsia="en-US"/>
        </w:rPr>
        <w:t xml:space="preserve">. </w:t>
      </w:r>
    </w:p>
    <w:p w14:paraId="1A08C3A6" w14:textId="77777777" w:rsidR="006D689E" w:rsidRPr="00337047" w:rsidRDefault="006D689E" w:rsidP="006D689E">
      <w:pPr>
        <w:spacing w:after="0" w:line="240" w:lineRule="auto"/>
        <w:jc w:val="both"/>
      </w:pPr>
    </w:p>
    <w:p w14:paraId="5D467C03" w14:textId="745A9711" w:rsidR="006D689E" w:rsidRPr="00337047" w:rsidRDefault="006D689E" w:rsidP="006D689E">
      <w:pPr>
        <w:pStyle w:val="Paragraphedeliste"/>
        <w:numPr>
          <w:ilvl w:val="1"/>
          <w:numId w:val="11"/>
        </w:numPr>
        <w:jc w:val="both"/>
        <w:rPr>
          <w:rFonts w:ascii="Lato Semibold" w:hAnsi="Lato Semibold" w:cstheme="majorBidi"/>
          <w:color w:val="005FB6" w:themeColor="accent2"/>
          <w:sz w:val="32"/>
          <w:lang w:val="fr-FR" w:eastAsia="es-ES"/>
        </w:rPr>
      </w:pPr>
      <w:r w:rsidRPr="00337047">
        <w:rPr>
          <w:rFonts w:ascii="Lato Semibold" w:hAnsi="Lato Semibold" w:cstheme="majorBidi"/>
          <w:color w:val="005FB6" w:themeColor="accent2"/>
          <w:sz w:val="32"/>
          <w:lang w:val="fr-FR" w:eastAsia="es-ES"/>
        </w:rPr>
        <w:t>Contexte dans lequel s’inscrit le projet</w:t>
      </w:r>
    </w:p>
    <w:p w14:paraId="74106E95" w14:textId="77777777" w:rsidR="006D689E" w:rsidRPr="00337047" w:rsidRDefault="006D689E" w:rsidP="006D689E">
      <w:pPr>
        <w:jc w:val="both"/>
        <w:rPr>
          <w:rFonts w:eastAsiaTheme="minorHAnsi"/>
          <w:lang w:eastAsia="en-US"/>
        </w:rPr>
      </w:pPr>
      <w:r w:rsidRPr="00337047">
        <w:rPr>
          <w:rFonts w:eastAsiaTheme="minorHAnsi"/>
          <w:lang w:eastAsia="en-US"/>
        </w:rPr>
        <w:t>La RDC reste l’un des pays les plus pauvres au monde avec 63% de la population vivant avec moins de 1,25 USD par jour</w:t>
      </w:r>
      <w:r w:rsidRPr="00337047">
        <w:rPr>
          <w:rFonts w:eastAsiaTheme="minorHAnsi"/>
          <w:vertAlign w:val="superscript"/>
          <w:lang w:eastAsia="en-US"/>
        </w:rPr>
        <w:footnoteReference w:id="2"/>
      </w:r>
      <w:r w:rsidRPr="00337047">
        <w:rPr>
          <w:rFonts w:eastAsiaTheme="minorHAnsi"/>
          <w:lang w:eastAsia="en-US"/>
        </w:rPr>
        <w:t>. En Ituri, l’agriculture constitue l’activité principale des ménages aux dépens du secteur informel qui, lui reste peu développé. Une part importante de l’alimentation des ménages les plus pauvres provient de leur propre production agricole. En effet, l’autoconsommation alimentaire dans la province représente 41% des dépenses alimentaires des ménages très pauvres</w:t>
      </w:r>
      <w:r w:rsidRPr="00337047">
        <w:rPr>
          <w:rFonts w:eastAsiaTheme="minorHAnsi"/>
          <w:vertAlign w:val="superscript"/>
          <w:lang w:eastAsia="en-US"/>
        </w:rPr>
        <w:footnoteReference w:id="3"/>
      </w:r>
      <w:r w:rsidRPr="00337047">
        <w:rPr>
          <w:rFonts w:eastAsiaTheme="minorHAnsi"/>
          <w:lang w:eastAsia="en-US"/>
        </w:rPr>
        <w:t>. La consommation est donc moyennement monétarisée.</w:t>
      </w:r>
    </w:p>
    <w:p w14:paraId="356F2EC2" w14:textId="77777777" w:rsidR="006D689E" w:rsidRPr="00337047" w:rsidRDefault="006D689E" w:rsidP="006D689E">
      <w:pPr>
        <w:jc w:val="both"/>
        <w:rPr>
          <w:rFonts w:eastAsiaTheme="minorHAnsi"/>
          <w:lang w:eastAsia="en-US"/>
        </w:rPr>
      </w:pPr>
      <w:r w:rsidRPr="00337047">
        <w:rPr>
          <w:rFonts w:eastAsiaTheme="minorHAnsi"/>
          <w:lang w:eastAsia="en-US"/>
        </w:rPr>
        <w:t>Pour autant, la production agricole en Ituri est soumise à plusieurs contraintes que sont les perturbations climatiques – inondations, sécheresse, invasion acridienne, -, les maladies et déprédateurs de cultures ainsi que la dégradation des ressources naturelles, le manque de moyen de production et d’accès aux terres cultivables du fait de l’insécurité dans la zone. Ces facteurs ont pour conséquence la réduction significative des productions agricoles, notamment pour les ménages les plus pauvres. D’après le rapport de Mercy Corps publié en mai 2020, les criquets ont été aperçus sur les territoires d’Aru, Mahagi et Irumu. L’essaim présent en Ituri arrivera à maturité en mai 2020, ce qui coïncide avec la saison des récoltes et pourrait avoir des répercussions néfastes sur les productions agricoles</w:t>
      </w:r>
      <w:r w:rsidRPr="00337047">
        <w:rPr>
          <w:rFonts w:eastAsiaTheme="minorHAnsi"/>
          <w:vertAlign w:val="superscript"/>
          <w:lang w:eastAsia="en-US"/>
        </w:rPr>
        <w:footnoteReference w:id="4"/>
      </w:r>
      <w:r w:rsidRPr="00337047">
        <w:rPr>
          <w:rFonts w:eastAsiaTheme="minorHAnsi"/>
          <w:lang w:eastAsia="en-US"/>
        </w:rPr>
        <w:t xml:space="preserve">. De plus, le manque de moyen financier, l’accès limité aux intrants agricoles adaptés, au matériel, équipement de production et à l’encadrement technique constituent un frein pour les ménages les plus pauvres pour accroître et diversifier leurs rendements. Aussi, le manque d’infrastructures rurales de base telles que des espaces de stockage appropriés contribue à la détérioration des produits agricoles avec une perte de revenus pour les petits producteurs. Le mauvais état du réseau routier de desserte agricole et d’évacuation des produits agricoles ne permet pas non plus d’assurer l’approvisionnement des marchés de consommation et la commercialisation des produits agricoles. Enfin, les initiatives endogènes de développement du secteur agricole pour pallier ce manque de moyens sont limitées du fait de la faible structuration des petits producteurs en organisations paysannes. La faible promotion du développement agricole ne permet pas d’assurer une gouvernance harmonisée en matière de sécurité alimentaire et nutritionnelle tant au niveau provincial que territorial. Par exemple, le Service National de Vulgarisation reste très peu actif au niveau de la province et ne couvre que peu de zones rurales, ce qui ne permet pas un renforcement de capacités techniques adéquat des petits producteurs. </w:t>
      </w:r>
    </w:p>
    <w:p w14:paraId="0561A039" w14:textId="77777777" w:rsidR="006D689E" w:rsidRPr="00337047" w:rsidRDefault="006D689E" w:rsidP="006D689E">
      <w:pPr>
        <w:jc w:val="both"/>
        <w:rPr>
          <w:rFonts w:eastAsiaTheme="minorHAnsi"/>
          <w:lang w:eastAsia="en-US"/>
        </w:rPr>
      </w:pPr>
      <w:r w:rsidRPr="00337047">
        <w:rPr>
          <w:rFonts w:eastAsiaTheme="minorHAnsi"/>
          <w:lang w:eastAsia="en-US"/>
        </w:rPr>
        <w:t xml:space="preserve">Les revenus tirés de l’agriculture pour satisfaire les dépenses alimentaires et non alimentaires - santé, éducation, etc.- restent très faibles au niveau des ménages les plus vulnérables. Aussi, la possibilité de diversification des sources de revenus en ayant recours aux activités non-agricoles - vente de charbon de bois, d’aliments comestibles prélevés dans la nature - reste faible et ne permet pas de couvrir l’ensemble des besoins des ménages. De fait, les ménages ont également recours aux marchés locaux pour satisfaire leurs besoins alimentaires et non-alimentaires les rendant plus vulnérables aux fluctuations des prix. </w:t>
      </w:r>
    </w:p>
    <w:p w14:paraId="0D4C52B9" w14:textId="31C38771" w:rsidR="006D689E" w:rsidRPr="00337047" w:rsidRDefault="006D689E" w:rsidP="006D689E">
      <w:pPr>
        <w:jc w:val="both"/>
        <w:rPr>
          <w:rFonts w:eastAsiaTheme="minorHAnsi"/>
          <w:lang w:eastAsia="en-US"/>
        </w:rPr>
      </w:pPr>
      <w:r w:rsidRPr="00337047">
        <w:rPr>
          <w:rFonts w:eastAsiaTheme="minorHAnsi"/>
          <w:lang w:eastAsia="en-US"/>
        </w:rPr>
        <w:lastRenderedPageBreak/>
        <w:t>La faible productivité agricole couplée aux difficultés d’accès aux marchés ne permet pas aux ménages très pauvres de diversifier leur alimentation qui est principalement composée de céréales et de manioc et d’une faible quantité de produits végétaux riches en protéines - haricots, arachides, etc. Au total, 84% des ménages ont un Score de Consommation Alimentaire (SCA) limité et pauvre et environ 57% des ménages ont recours à des stratégies de crise et d’urgence pour satisfaire leurs besoins alimentaires. Seuls 26% ont un Score de Diversité Alimentaire (SDA) acceptable. L’insécurité alimentaire touche environ 44% de la population de la province. Les territoires de Mambasa et Irumu se trouvent en IPC Phase 3 – Crise</w:t>
      </w:r>
      <w:r w:rsidRPr="00337047">
        <w:rPr>
          <w:rFonts w:eastAsiaTheme="minorHAnsi"/>
          <w:vertAlign w:val="superscript"/>
          <w:lang w:eastAsia="en-US"/>
        </w:rPr>
        <w:footnoteReference w:id="5"/>
      </w:r>
      <w:r w:rsidR="00240B77" w:rsidRPr="00337047">
        <w:rPr>
          <w:rFonts w:eastAsiaTheme="minorHAnsi"/>
          <w:lang w:eastAsia="en-US"/>
        </w:rPr>
        <w:t>.</w:t>
      </w:r>
      <w:r w:rsidRPr="00337047">
        <w:rPr>
          <w:rFonts w:eastAsiaTheme="minorHAnsi"/>
          <w:vertAlign w:val="superscript"/>
          <w:lang w:eastAsia="en-US"/>
        </w:rPr>
        <w:t xml:space="preserve"> </w:t>
      </w:r>
    </w:p>
    <w:p w14:paraId="440E3688" w14:textId="352FBD0A" w:rsidR="006D689E" w:rsidRPr="00337047" w:rsidRDefault="006D689E" w:rsidP="006D689E">
      <w:pPr>
        <w:jc w:val="both"/>
        <w:rPr>
          <w:rFonts w:eastAsiaTheme="minorHAnsi"/>
          <w:lang w:eastAsia="en-US"/>
        </w:rPr>
      </w:pPr>
      <w:r w:rsidRPr="00337047">
        <w:rPr>
          <w:rFonts w:eastAsiaTheme="minorHAnsi"/>
          <w:lang w:eastAsia="en-US"/>
        </w:rPr>
        <w:t>Aussi, le plan opérationnel 2020 rapporte 77 467 cas d’enfants atteints de malnutrition aiguë sévère (MAS) et 51 204 enfants atteints de malnutrition aiguë globale (MAG). En Ituri, la situation nutritionnelle sur la zone est alarmante, avec une prévalence la MAS de 6,1%</w:t>
      </w:r>
      <w:r w:rsidRPr="00337047">
        <w:rPr>
          <w:rFonts w:eastAsiaTheme="minorHAnsi"/>
          <w:vertAlign w:val="superscript"/>
          <w:lang w:eastAsia="en-US"/>
        </w:rPr>
        <w:footnoteReference w:id="6"/>
      </w:r>
      <w:r w:rsidR="00240B77" w:rsidRPr="00337047">
        <w:rPr>
          <w:rFonts w:eastAsiaTheme="minorHAnsi"/>
          <w:lang w:eastAsia="en-US"/>
        </w:rPr>
        <w:t xml:space="preserve">. </w:t>
      </w:r>
      <w:r w:rsidRPr="00337047">
        <w:rPr>
          <w:rFonts w:eastAsiaTheme="minorHAnsi"/>
          <w:lang w:eastAsia="en-US"/>
        </w:rPr>
        <w:t>Le taux de couverture pour la Prise en Charge Intégrée de la Malnutrition Aiguë (PCIMA) sur l’Ituri est faible à hauteur de 39% donc la réponse nutritionnelle reste insuffisante face aux besoins des populations. La prévalence de la malnutrition chronique globale des enfants de moins de 5 ans est de 47,1% et l’insuffisance pondérale de 11% restent très préoccupantes</w:t>
      </w:r>
      <w:r w:rsidRPr="00337047">
        <w:rPr>
          <w:rFonts w:eastAsiaTheme="minorHAnsi"/>
          <w:vertAlign w:val="superscript"/>
          <w:lang w:eastAsia="en-US"/>
        </w:rPr>
        <w:footnoteReference w:id="7"/>
      </w:r>
      <w:r w:rsidRPr="00337047">
        <w:rPr>
          <w:rFonts w:eastAsiaTheme="minorHAnsi"/>
          <w:lang w:eastAsia="en-US"/>
        </w:rPr>
        <w:t>. Le manque d’accès aux services essentiels du fait de l’insécurité, de même que les mauvaises pratiques d’alimentation et le faible taux d’allaitement maternel exclusif – 49% - peuvent en partie expliquer cette situation</w:t>
      </w:r>
      <w:r w:rsidRPr="00337047">
        <w:rPr>
          <w:rFonts w:eastAsiaTheme="minorHAnsi"/>
          <w:vertAlign w:val="superscript"/>
          <w:lang w:eastAsia="en-US"/>
        </w:rPr>
        <w:footnoteReference w:id="8"/>
      </w:r>
      <w:r w:rsidRPr="00337047">
        <w:rPr>
          <w:rFonts w:eastAsiaTheme="minorHAnsi"/>
          <w:lang w:eastAsia="en-US"/>
        </w:rPr>
        <w:t xml:space="preserve">. Le statut nutritionnel des femmes enceintes et allaitantes (FEFA) est également à prendre en compte puisqu’il peut influer l’état de santé de l’enfant à la naissance – prématuré, poids faible, etc.  Cette situation est d’autant plus sévère que les centres de santé sont peu fréquentés du fait de la qualité inadéquate des soins offerts aux enfants malades favorisant le recours à l’automédication et aux guérisseurs traditionnels. </w:t>
      </w:r>
    </w:p>
    <w:p w14:paraId="704EE981" w14:textId="77777777" w:rsidR="006D689E" w:rsidRPr="00337047" w:rsidRDefault="006D689E" w:rsidP="006D689E">
      <w:pPr>
        <w:jc w:val="both"/>
        <w:rPr>
          <w:rFonts w:eastAsiaTheme="minorHAnsi"/>
          <w:lang w:eastAsia="en-US"/>
        </w:rPr>
      </w:pPr>
      <w:r w:rsidRPr="00337047">
        <w:rPr>
          <w:rFonts w:eastAsiaTheme="minorHAnsi"/>
          <w:lang w:eastAsia="en-US"/>
        </w:rPr>
        <w:t>Il est également important de noter que l’essentiel des tâches domestiques et de production – y compris la vente sur les marchés – reposent sur les femmes. En plus de la charge de travail qui pèse sur leur santé, l’inégale répartition des ressources au sein du foyer participe également de la détérioration de leur état nutritionnel et de celui des enfants, surtout si les bonnes pratiques de soin et d’alimentation ne sont pas appliquées. Enfin, l’insécurité dans la zone accroît les risques de Violences Basées sur le Genre (VBG) sur les axes allant du foyer aux zones de travail – champs et marchés. Le plan opérationnel 2020 rapporte 8 390 incidents de protection enregistrés en 2019.</w:t>
      </w:r>
      <w:r w:rsidRPr="00337047">
        <w:rPr>
          <w:rFonts w:eastAsiaTheme="minorHAnsi"/>
          <w:vertAlign w:val="superscript"/>
          <w:lang w:eastAsia="en-US"/>
        </w:rPr>
        <w:footnoteReference w:id="9"/>
      </w:r>
    </w:p>
    <w:p w14:paraId="1E60DB7F" w14:textId="77777777" w:rsidR="006D689E" w:rsidRPr="00337047" w:rsidRDefault="006D689E" w:rsidP="006D689E">
      <w:pPr>
        <w:jc w:val="both"/>
        <w:rPr>
          <w:rFonts w:eastAsiaTheme="minorHAnsi"/>
          <w:lang w:eastAsia="en-US"/>
        </w:rPr>
      </w:pPr>
      <w:r w:rsidRPr="00337047">
        <w:rPr>
          <w:rFonts w:eastAsiaTheme="minorHAnsi"/>
          <w:lang w:eastAsia="en-US"/>
        </w:rPr>
        <w:t>En outre, le faible accès aux structures d’eau, d’hygiène et d’assainissement au sein des foyers vulnérables participe de la dégradation de l’état nutritionnel des individus. En effet, en Ituri, 46% de la population n’a pas d’accès à l’eau potable et environ 64% n’a pas d’accès à un assainissement de base. Cette situation contribue à exposer les populations à des risques de contamination de maladies hydriques</w:t>
      </w:r>
      <w:r w:rsidRPr="00337047">
        <w:rPr>
          <w:rFonts w:eastAsiaTheme="minorHAnsi"/>
          <w:vertAlign w:val="superscript"/>
          <w:lang w:eastAsia="en-US"/>
        </w:rPr>
        <w:footnoteReference w:id="10"/>
      </w:r>
      <w:r w:rsidRPr="00337047">
        <w:rPr>
          <w:rFonts w:eastAsiaTheme="minorHAnsi"/>
          <w:lang w:eastAsia="en-US"/>
        </w:rPr>
        <w:t>.</w:t>
      </w:r>
    </w:p>
    <w:p w14:paraId="04D164B1" w14:textId="0CBD9379" w:rsidR="006D689E" w:rsidRPr="00337047" w:rsidRDefault="006D689E" w:rsidP="006D689E">
      <w:pPr>
        <w:jc w:val="both"/>
        <w:rPr>
          <w:rFonts w:eastAsiaTheme="minorHAnsi"/>
          <w:lang w:eastAsia="en-US"/>
        </w:rPr>
      </w:pPr>
      <w:r w:rsidRPr="00337047">
        <w:rPr>
          <w:rFonts w:eastAsiaTheme="minorHAnsi"/>
          <w:lang w:eastAsia="en-US"/>
        </w:rPr>
        <w:t xml:space="preserve">Enfin, l’application des mesures gouvernementales pour faire face à la pandémie COVID-19 et les mesures de fermeture des frontières appliquées par les gouvernements de RDC et des pays voisins risquent d’avoir un impact sur la sécurité alimentaire et nutritionnelle des ménages vulnérables. Ces effets indirects ont déjà pu être observés et participent à la détérioration du statut nutritionnel des populations notamment à travers la baisse des niveaux de production </w:t>
      </w:r>
      <w:r w:rsidRPr="00337047">
        <w:rPr>
          <w:rFonts w:eastAsiaTheme="minorHAnsi"/>
          <w:lang w:eastAsia="en-US"/>
        </w:rPr>
        <w:lastRenderedPageBreak/>
        <w:t>et donc des revenus des ménages, la perturbation des circuits d’approvisionnement des marchés entraînant une baisse de la disponibilité des produits ; une augmentation du taux d’inflation du Franc Congolais - vis-à-vis du Dollar - ayant un impact non négligeable sur le pouvoir d’achat des populations et donc la réduction de l’accès des ménages vulnérables aux produits de première nécessité sur les marchés locaux du fait de cette baisse de pouvoir d’achat</w:t>
      </w:r>
      <w:r w:rsidRPr="00337047">
        <w:rPr>
          <w:rFonts w:eastAsiaTheme="minorHAnsi"/>
          <w:vertAlign w:val="superscript"/>
          <w:lang w:eastAsia="en-US"/>
        </w:rPr>
        <w:footnoteReference w:id="11"/>
      </w:r>
      <w:r w:rsidR="00240B77" w:rsidRPr="00337047">
        <w:rPr>
          <w:rFonts w:eastAsiaTheme="minorHAnsi"/>
          <w:lang w:eastAsia="en-US"/>
        </w:rPr>
        <w:t>. P</w:t>
      </w:r>
      <w:r w:rsidRPr="00337047">
        <w:rPr>
          <w:rFonts w:eastAsiaTheme="minorHAnsi"/>
          <w:lang w:eastAsia="en-US"/>
        </w:rPr>
        <w:t>ar exemple, en mars 2020, 1kg de riz importé coûte 2 050 francs congolais contre 1 625 francs en mars 2019</w:t>
      </w:r>
      <w:r w:rsidRPr="00337047">
        <w:rPr>
          <w:rFonts w:eastAsiaTheme="minorHAnsi"/>
          <w:vertAlign w:val="superscript"/>
          <w:lang w:eastAsia="en-US"/>
        </w:rPr>
        <w:footnoteReference w:id="12"/>
      </w:r>
      <w:r w:rsidRPr="00337047">
        <w:rPr>
          <w:rFonts w:eastAsiaTheme="minorHAnsi"/>
          <w:lang w:eastAsia="en-US"/>
        </w:rPr>
        <w:t xml:space="preserve">. </w:t>
      </w:r>
    </w:p>
    <w:p w14:paraId="0F1ABDC9" w14:textId="79E325FF" w:rsidR="006D689E" w:rsidRPr="00337047" w:rsidRDefault="006D689E" w:rsidP="00DD0EAF">
      <w:pPr>
        <w:jc w:val="both"/>
        <w:rPr>
          <w:rFonts w:eastAsiaTheme="minorHAnsi"/>
          <w:lang w:eastAsia="en-US"/>
        </w:rPr>
      </w:pPr>
      <w:r w:rsidRPr="00337047">
        <w:rPr>
          <w:rFonts w:eastAsiaTheme="minorHAnsi"/>
          <w:lang w:eastAsia="en-US"/>
        </w:rPr>
        <w:t xml:space="preserve">Ainsi, afin de faire face à ces besoins d’ordres structurel et conjoncturel, la présente action d’ACF s’inscrit dans une dynamique de complémentarité et de synergie avec d’autres initiatives déjà en cours ou à venir dans la zone d’intervention. En effet, l’action a été conçue pour être complémentaire à celle du Programme de Renforcement de l’Offre et Développement de l’accès aux soins de Santé (PRODS) mise en œuvre par l’ONG MEMISA-Belgique dans la province d’Ituri, notamment dans les zones de santé de Mambasa, Komanda, Nyakunde, Tchomia, Bunia, Nizi et Drodro. D’autres synergies d’action seront aussi créées, via les clusters, avec les autres acteurs intervenant dans les secteurs de la sécurité alimentaire, de la nutrition, de la santé et de l’EHA et cela dans une volonté d’élargir au maximum le spectre d’action de la réponse contre la malnutrition. </w:t>
      </w:r>
    </w:p>
    <w:p w14:paraId="7E7C7D91" w14:textId="2CD26DF6" w:rsidR="004F1EFD" w:rsidRPr="00337047" w:rsidRDefault="0010095B" w:rsidP="0010095B">
      <w:pPr>
        <w:pStyle w:val="Titre1"/>
        <w:numPr>
          <w:ilvl w:val="0"/>
          <w:numId w:val="11"/>
        </w:numPr>
        <w:spacing w:before="100" w:beforeAutospacing="1" w:after="100" w:afterAutospacing="1" w:line="264" w:lineRule="auto"/>
        <w:ind w:left="0" w:firstLine="0"/>
        <w:rPr>
          <w:rFonts w:ascii="Futura LT Pro Book" w:eastAsia="Times New Roman" w:hAnsi="Futura LT Pro Book" w:cs="Times New Roman"/>
          <w:iCs/>
          <w:caps/>
          <w:color w:val="52AE32" w:themeColor="accent1"/>
          <w:kern w:val="36"/>
          <w:sz w:val="40"/>
          <w:szCs w:val="40"/>
          <w:lang w:eastAsia="es-ES"/>
        </w:rPr>
      </w:pPr>
      <w:r w:rsidRPr="00337047">
        <w:rPr>
          <w:rFonts w:ascii="Futura LT Pro Book" w:eastAsia="Times New Roman" w:hAnsi="Futura LT Pro Book" w:cs="Times New Roman"/>
          <w:iCs/>
          <w:caps/>
          <w:color w:val="52AE32" w:themeColor="accent1"/>
          <w:kern w:val="36"/>
          <w:sz w:val="40"/>
          <w:szCs w:val="40"/>
          <w:lang w:eastAsia="es-ES"/>
        </w:rPr>
        <w:t>OBJECTIFS</w:t>
      </w:r>
    </w:p>
    <w:p w14:paraId="1FD146FE" w14:textId="6F5C2F6F" w:rsidR="0010095B" w:rsidRPr="00337047" w:rsidRDefault="00D75586" w:rsidP="00D75586">
      <w:pPr>
        <w:pStyle w:val="Sous-titreLatoB"/>
        <w:numPr>
          <w:ilvl w:val="1"/>
          <w:numId w:val="11"/>
        </w:numPr>
        <w:rPr>
          <w:lang w:val="fr-FR"/>
        </w:rPr>
      </w:pPr>
      <w:r w:rsidRPr="00337047">
        <w:rPr>
          <w:lang w:val="fr-FR"/>
        </w:rPr>
        <w:t>Objectif général</w:t>
      </w:r>
    </w:p>
    <w:p w14:paraId="0CCEC34B" w14:textId="33D0181A" w:rsidR="0010095B" w:rsidRPr="00337047" w:rsidRDefault="0010095B" w:rsidP="0010095B">
      <w:pPr>
        <w:spacing w:line="264" w:lineRule="auto"/>
        <w:jc w:val="both"/>
        <w:rPr>
          <w:rFonts w:ascii="Lato" w:eastAsiaTheme="minorHAnsi" w:hAnsi="Lato"/>
          <w:lang w:eastAsia="en-US"/>
        </w:rPr>
      </w:pPr>
      <w:r w:rsidRPr="00337047">
        <w:rPr>
          <w:rFonts w:ascii="Lato" w:eastAsiaTheme="minorHAnsi" w:hAnsi="Lato"/>
          <w:lang w:eastAsia="en-US"/>
        </w:rPr>
        <w:t xml:space="preserve">L’objectif général visé par cette </w:t>
      </w:r>
      <w:r w:rsidR="00DD0EAF" w:rsidRPr="00337047">
        <w:rPr>
          <w:rFonts w:ascii="Lato" w:eastAsiaTheme="minorHAnsi" w:hAnsi="Lato"/>
          <w:lang w:eastAsia="en-US"/>
        </w:rPr>
        <w:t xml:space="preserve">enquête CAP </w:t>
      </w:r>
      <w:r w:rsidRPr="00337047">
        <w:rPr>
          <w:rFonts w:ascii="Lato" w:eastAsiaTheme="minorHAnsi" w:hAnsi="Lato"/>
          <w:lang w:eastAsia="en-US"/>
        </w:rPr>
        <w:t>est d’orienter la stratégie de mise en œuvre des activités de sensibilisation pour faciliter le changement de comportement des populations bénéficiaires du projet dans le contexte socioéconomique</w:t>
      </w:r>
      <w:r w:rsidR="00927523" w:rsidRPr="00337047">
        <w:rPr>
          <w:rFonts w:ascii="Lato" w:eastAsiaTheme="minorHAnsi" w:hAnsi="Lato"/>
          <w:lang w:eastAsia="en-US"/>
        </w:rPr>
        <w:t xml:space="preserve"> </w:t>
      </w:r>
      <w:r w:rsidR="00DD0EAF" w:rsidRPr="00337047">
        <w:rPr>
          <w:rFonts w:ascii="Lato" w:eastAsiaTheme="minorHAnsi" w:hAnsi="Lato"/>
          <w:lang w:eastAsia="en-US"/>
        </w:rPr>
        <w:t>et</w:t>
      </w:r>
      <w:r w:rsidR="00927523" w:rsidRPr="00337047">
        <w:rPr>
          <w:rFonts w:ascii="Lato" w:eastAsiaTheme="minorHAnsi" w:hAnsi="Lato"/>
          <w:lang w:eastAsia="en-US"/>
        </w:rPr>
        <w:t xml:space="preserve"> culturel</w:t>
      </w:r>
      <w:r w:rsidRPr="00337047">
        <w:rPr>
          <w:rFonts w:ascii="Lato" w:eastAsiaTheme="minorHAnsi" w:hAnsi="Lato"/>
          <w:lang w:eastAsia="en-US"/>
        </w:rPr>
        <w:t xml:space="preserve"> </w:t>
      </w:r>
      <w:r w:rsidR="004F3FCD" w:rsidRPr="00337047">
        <w:rPr>
          <w:rFonts w:ascii="Lato" w:eastAsiaTheme="minorHAnsi" w:hAnsi="Lato"/>
          <w:lang w:eastAsia="en-US"/>
        </w:rPr>
        <w:t xml:space="preserve">dans </w:t>
      </w:r>
      <w:r w:rsidR="00C22E15">
        <w:rPr>
          <w:rFonts w:ascii="Lato" w:eastAsiaTheme="minorHAnsi" w:hAnsi="Lato"/>
          <w:lang w:eastAsia="en-US"/>
        </w:rPr>
        <w:t>3</w:t>
      </w:r>
      <w:r w:rsidR="004F3FCD" w:rsidRPr="00337047">
        <w:rPr>
          <w:rFonts w:ascii="Lato" w:eastAsiaTheme="minorHAnsi" w:hAnsi="Lato"/>
          <w:lang w:eastAsia="en-US"/>
        </w:rPr>
        <w:t xml:space="preserve"> zones de santé </w:t>
      </w:r>
      <w:r w:rsidR="00927523" w:rsidRPr="00337047">
        <w:rPr>
          <w:rFonts w:ascii="Lato" w:eastAsiaTheme="minorHAnsi" w:hAnsi="Lato"/>
          <w:lang w:eastAsia="en-US"/>
        </w:rPr>
        <w:t xml:space="preserve">des territoires de Mambassa et d’Irumu, </w:t>
      </w:r>
      <w:r w:rsidR="00DD0EAF" w:rsidRPr="00337047">
        <w:rPr>
          <w:rFonts w:ascii="Lato" w:eastAsiaTheme="minorHAnsi" w:hAnsi="Lato"/>
          <w:lang w:eastAsia="en-US"/>
        </w:rPr>
        <w:t xml:space="preserve">dans la </w:t>
      </w:r>
      <w:r w:rsidR="00927523" w:rsidRPr="00337047">
        <w:rPr>
          <w:rFonts w:ascii="Lato" w:eastAsiaTheme="minorHAnsi" w:hAnsi="Lato"/>
          <w:lang w:eastAsia="en-US"/>
        </w:rPr>
        <w:t>province d’Ituri</w:t>
      </w:r>
      <w:r w:rsidRPr="00337047">
        <w:rPr>
          <w:rFonts w:ascii="Lato" w:eastAsiaTheme="minorHAnsi" w:hAnsi="Lato"/>
          <w:lang w:eastAsia="en-US"/>
        </w:rPr>
        <w:t>.</w:t>
      </w:r>
    </w:p>
    <w:p w14:paraId="665C7E79" w14:textId="17AAF2C3" w:rsidR="0010095B" w:rsidRPr="00337047" w:rsidRDefault="00D75586" w:rsidP="00D75586">
      <w:pPr>
        <w:pStyle w:val="Sous-titreLatoB"/>
        <w:numPr>
          <w:ilvl w:val="1"/>
          <w:numId w:val="11"/>
        </w:numPr>
        <w:rPr>
          <w:lang w:val="fr-FR"/>
        </w:rPr>
      </w:pPr>
      <w:r w:rsidRPr="00337047">
        <w:rPr>
          <w:lang w:val="fr-FR"/>
        </w:rPr>
        <w:t>Objectifs spécifiques</w:t>
      </w:r>
    </w:p>
    <w:p w14:paraId="60813AC5" w14:textId="77777777" w:rsidR="0010095B" w:rsidRPr="00337047" w:rsidRDefault="0010095B" w:rsidP="0010095B">
      <w:pPr>
        <w:spacing w:after="0" w:line="240" w:lineRule="auto"/>
        <w:jc w:val="both"/>
        <w:rPr>
          <w:rFonts w:ascii="Lato" w:eastAsiaTheme="minorHAnsi" w:hAnsi="Lato"/>
          <w:lang w:eastAsia="en-US"/>
        </w:rPr>
      </w:pPr>
      <w:r w:rsidRPr="00337047">
        <w:rPr>
          <w:rFonts w:ascii="Lato" w:eastAsiaTheme="minorHAnsi" w:hAnsi="Lato"/>
          <w:lang w:eastAsia="en-US"/>
        </w:rPr>
        <w:t>Les objectifs spécifiques sont :</w:t>
      </w:r>
    </w:p>
    <w:p w14:paraId="58B87F57" w14:textId="77777777" w:rsidR="0010095B" w:rsidRPr="00337047" w:rsidRDefault="0010095B" w:rsidP="003E28A6">
      <w:pPr>
        <w:pStyle w:val="Paragraphedeliste"/>
        <w:numPr>
          <w:ilvl w:val="0"/>
          <w:numId w:val="14"/>
        </w:numPr>
        <w:contextualSpacing/>
        <w:jc w:val="both"/>
        <w:rPr>
          <w:rFonts w:ascii="Lato" w:eastAsiaTheme="minorHAnsi" w:hAnsi="Lato" w:cstheme="minorBidi"/>
          <w:sz w:val="22"/>
          <w:szCs w:val="22"/>
          <w:lang w:val="fr-FR"/>
        </w:rPr>
      </w:pPr>
      <w:r w:rsidRPr="00337047">
        <w:rPr>
          <w:rFonts w:ascii="Lato" w:eastAsiaTheme="minorHAnsi" w:hAnsi="Lato" w:cstheme="minorBidi"/>
          <w:sz w:val="22"/>
          <w:szCs w:val="22"/>
          <w:lang w:val="fr-FR"/>
        </w:rPr>
        <w:t>Etablir la situation de référence des connaissances, attitudes et pratiques dans les domaines d’intervention du projet - SAME, EHA, nutrition, santé et santé mentale ;</w:t>
      </w:r>
    </w:p>
    <w:p w14:paraId="38FA1C66" w14:textId="77777777" w:rsidR="0010095B" w:rsidRPr="00337047" w:rsidRDefault="0010095B" w:rsidP="003E28A6">
      <w:pPr>
        <w:pStyle w:val="Paragraphedeliste"/>
        <w:numPr>
          <w:ilvl w:val="0"/>
          <w:numId w:val="14"/>
        </w:numPr>
        <w:contextualSpacing/>
        <w:jc w:val="both"/>
        <w:rPr>
          <w:rFonts w:ascii="Lato" w:eastAsiaTheme="minorHAnsi" w:hAnsi="Lato" w:cstheme="minorBidi"/>
          <w:sz w:val="22"/>
          <w:szCs w:val="22"/>
          <w:lang w:val="fr-FR"/>
        </w:rPr>
      </w:pPr>
      <w:r w:rsidRPr="00337047">
        <w:rPr>
          <w:rFonts w:ascii="Lato" w:eastAsiaTheme="minorHAnsi" w:hAnsi="Lato" w:cstheme="minorBidi"/>
          <w:sz w:val="22"/>
          <w:szCs w:val="22"/>
          <w:lang w:val="fr-FR"/>
        </w:rPr>
        <w:t>Identifier le besoin éducationnel des personnes cibles du projet en lien avec les activités à mettre en œuvre ;</w:t>
      </w:r>
    </w:p>
    <w:p w14:paraId="6E204F31" w14:textId="5A89C2AB" w:rsidR="0010095B" w:rsidRPr="00337047" w:rsidRDefault="0010095B" w:rsidP="003E28A6">
      <w:pPr>
        <w:pStyle w:val="Paragraphedeliste"/>
        <w:numPr>
          <w:ilvl w:val="0"/>
          <w:numId w:val="14"/>
        </w:numPr>
        <w:contextualSpacing/>
        <w:jc w:val="both"/>
        <w:rPr>
          <w:rFonts w:ascii="Lato" w:eastAsiaTheme="minorHAnsi" w:hAnsi="Lato" w:cstheme="minorBidi"/>
          <w:sz w:val="22"/>
          <w:szCs w:val="22"/>
          <w:lang w:val="fr-FR"/>
        </w:rPr>
      </w:pPr>
      <w:r w:rsidRPr="00337047">
        <w:rPr>
          <w:rFonts w:ascii="Lato" w:eastAsiaTheme="minorHAnsi" w:hAnsi="Lato" w:cstheme="minorBidi"/>
          <w:sz w:val="22"/>
          <w:szCs w:val="22"/>
          <w:lang w:val="fr-FR"/>
        </w:rPr>
        <w:t xml:space="preserve">Analyser les </w:t>
      </w:r>
      <w:r w:rsidR="00EA4579" w:rsidRPr="00337047">
        <w:rPr>
          <w:rFonts w:ascii="Lato" w:eastAsiaTheme="minorHAnsi" w:hAnsi="Lato" w:cstheme="minorBidi"/>
          <w:sz w:val="22"/>
          <w:szCs w:val="22"/>
          <w:lang w:val="fr-FR"/>
        </w:rPr>
        <w:t xml:space="preserve">obstacles </w:t>
      </w:r>
      <w:r w:rsidR="00EA0C1D" w:rsidRPr="00337047">
        <w:rPr>
          <w:rFonts w:ascii="Lato" w:eastAsiaTheme="minorHAnsi" w:hAnsi="Lato" w:cstheme="minorBidi"/>
          <w:sz w:val="22"/>
          <w:szCs w:val="22"/>
          <w:lang w:val="fr-FR"/>
        </w:rPr>
        <w:t xml:space="preserve">et les </w:t>
      </w:r>
      <w:r w:rsidR="00CC55C0" w:rsidRPr="00337047">
        <w:rPr>
          <w:rFonts w:ascii="Lato" w:eastAsiaTheme="minorHAnsi" w:hAnsi="Lato" w:cstheme="minorBidi"/>
          <w:sz w:val="22"/>
          <w:szCs w:val="22"/>
          <w:lang w:val="fr-FR"/>
        </w:rPr>
        <w:t>leviers</w:t>
      </w:r>
      <w:r w:rsidR="00EA4579" w:rsidRPr="00337047">
        <w:rPr>
          <w:rFonts w:ascii="Lato" w:eastAsiaTheme="minorHAnsi" w:hAnsi="Lato" w:cstheme="minorBidi"/>
          <w:sz w:val="22"/>
          <w:szCs w:val="22"/>
          <w:lang w:val="fr-FR"/>
        </w:rPr>
        <w:t xml:space="preserve"> potentiels</w:t>
      </w:r>
      <w:r w:rsidRPr="00337047">
        <w:rPr>
          <w:rFonts w:ascii="Lato" w:eastAsiaTheme="minorHAnsi" w:hAnsi="Lato" w:cstheme="minorBidi"/>
          <w:sz w:val="22"/>
          <w:szCs w:val="22"/>
          <w:lang w:val="fr-FR"/>
        </w:rPr>
        <w:t xml:space="preserve"> au changement de comportement des populations ;</w:t>
      </w:r>
    </w:p>
    <w:p w14:paraId="688AF858" w14:textId="04A5D0FF" w:rsidR="0010095B" w:rsidRPr="00337047" w:rsidRDefault="0010095B" w:rsidP="003E28A6">
      <w:pPr>
        <w:pStyle w:val="Paragraphedeliste"/>
        <w:numPr>
          <w:ilvl w:val="0"/>
          <w:numId w:val="14"/>
        </w:numPr>
        <w:contextualSpacing/>
        <w:jc w:val="both"/>
        <w:rPr>
          <w:rFonts w:ascii="Lato" w:eastAsiaTheme="minorHAnsi" w:hAnsi="Lato" w:cstheme="minorBidi"/>
          <w:sz w:val="22"/>
          <w:szCs w:val="22"/>
          <w:lang w:val="fr-FR"/>
        </w:rPr>
      </w:pPr>
      <w:r w:rsidRPr="00337047">
        <w:rPr>
          <w:rFonts w:ascii="Lato" w:eastAsiaTheme="minorHAnsi" w:hAnsi="Lato" w:cstheme="minorBidi"/>
          <w:sz w:val="22"/>
          <w:szCs w:val="22"/>
          <w:lang w:val="fr-FR"/>
        </w:rPr>
        <w:t xml:space="preserve">Comprendre les difficultés rencontrées par les populations à relier les connaissances avec l’adoption réelle de comportements sains, utiles </w:t>
      </w:r>
      <w:r w:rsidR="00B64FF8" w:rsidRPr="00337047">
        <w:rPr>
          <w:rFonts w:ascii="Lato" w:eastAsiaTheme="minorHAnsi" w:hAnsi="Lato" w:cstheme="minorBidi"/>
          <w:sz w:val="22"/>
          <w:szCs w:val="22"/>
          <w:lang w:val="fr-FR"/>
        </w:rPr>
        <w:t>et/</w:t>
      </w:r>
      <w:r w:rsidRPr="00337047">
        <w:rPr>
          <w:rFonts w:ascii="Lato" w:eastAsiaTheme="minorHAnsi" w:hAnsi="Lato" w:cstheme="minorBidi"/>
          <w:sz w:val="22"/>
          <w:szCs w:val="22"/>
          <w:lang w:val="fr-FR"/>
        </w:rPr>
        <w:t>ou efficaces</w:t>
      </w:r>
      <w:r w:rsidR="00BF2638">
        <w:rPr>
          <w:rFonts w:ascii="Lato" w:eastAsiaTheme="minorHAnsi" w:hAnsi="Lato" w:cstheme="minorBidi"/>
          <w:sz w:val="22"/>
          <w:szCs w:val="22"/>
          <w:lang w:val="fr-FR"/>
        </w:rPr>
        <w:t>.</w:t>
      </w:r>
    </w:p>
    <w:p w14:paraId="5A6205BB" w14:textId="77777777" w:rsidR="00EA0C1D" w:rsidRPr="00337047" w:rsidRDefault="00EA0C1D" w:rsidP="003E28A6">
      <w:pPr>
        <w:contextualSpacing/>
        <w:jc w:val="both"/>
        <w:rPr>
          <w:rFonts w:ascii="Lato" w:eastAsiaTheme="minorHAnsi" w:hAnsi="Lato"/>
        </w:rPr>
      </w:pPr>
    </w:p>
    <w:p w14:paraId="3D910E56" w14:textId="11F0F76D" w:rsidR="00EA0C1D" w:rsidRPr="003E28A6" w:rsidRDefault="00EA0C1D" w:rsidP="003E28A6">
      <w:pPr>
        <w:contextualSpacing/>
        <w:jc w:val="both"/>
        <w:rPr>
          <w:rFonts w:ascii="Lato" w:eastAsiaTheme="minorHAnsi" w:hAnsi="Lato"/>
        </w:rPr>
      </w:pPr>
      <w:r w:rsidRPr="00337047">
        <w:rPr>
          <w:rFonts w:ascii="Lato" w:eastAsiaTheme="minorHAnsi" w:hAnsi="Lato"/>
        </w:rPr>
        <w:t xml:space="preserve">Chacun de ces objectifs doit tenir compte des </w:t>
      </w:r>
      <w:r w:rsidR="00D7052F" w:rsidRPr="00337047">
        <w:rPr>
          <w:rFonts w:ascii="Lato" w:eastAsiaTheme="minorHAnsi" w:hAnsi="Lato"/>
        </w:rPr>
        <w:t>perspectives propres à chaque genre</w:t>
      </w:r>
      <w:r w:rsidRPr="00337047">
        <w:rPr>
          <w:rFonts w:ascii="Lato" w:eastAsiaTheme="minorHAnsi" w:hAnsi="Lato"/>
        </w:rPr>
        <w:t>, à savoir hommes, femmes, garçons et filles, en prenant en considération les spécificités attenantes à toute vulnérabilité particulière comme les maladies chroniques, les maladies mentales, le handicap physique ou mental, l’appartenance à un groupe minoritaire qu’il soit ethnique, tribal, religieux etc.</w:t>
      </w:r>
      <w:r w:rsidR="00D7052F" w:rsidRPr="00337047">
        <w:rPr>
          <w:rFonts w:ascii="Lato" w:eastAsiaTheme="minorHAnsi" w:hAnsi="Lato"/>
        </w:rPr>
        <w:t xml:space="preserve"> Les risques de protection, notamment de violence basée sur le genre, doivent être pris en considération tout au long de l’exercice</w:t>
      </w:r>
      <w:r w:rsidR="00BF2638">
        <w:rPr>
          <w:rFonts w:ascii="Lato" w:eastAsiaTheme="minorHAnsi" w:hAnsi="Lato"/>
        </w:rPr>
        <w:t>.</w:t>
      </w:r>
      <w:r w:rsidR="00D7052F" w:rsidRPr="00337047">
        <w:rPr>
          <w:rFonts w:ascii="Lato" w:eastAsiaTheme="minorHAnsi" w:hAnsi="Lato"/>
        </w:rPr>
        <w:t>.</w:t>
      </w:r>
    </w:p>
    <w:p w14:paraId="21C85D86" w14:textId="54E4ABD6" w:rsidR="0010095B" w:rsidRPr="00337047" w:rsidRDefault="0010095B" w:rsidP="0010095B">
      <w:pPr>
        <w:pStyle w:val="Titre1"/>
        <w:numPr>
          <w:ilvl w:val="0"/>
          <w:numId w:val="11"/>
        </w:numPr>
        <w:spacing w:before="100" w:beforeAutospacing="1" w:after="100" w:afterAutospacing="1" w:line="264" w:lineRule="auto"/>
        <w:ind w:left="0" w:firstLine="0"/>
        <w:rPr>
          <w:rFonts w:ascii="Futura LT Pro Book" w:eastAsia="Times New Roman" w:hAnsi="Futura LT Pro Book" w:cs="Times New Roman"/>
          <w:iCs/>
          <w:caps/>
          <w:color w:val="52AE32" w:themeColor="accent1"/>
          <w:kern w:val="36"/>
          <w:sz w:val="40"/>
          <w:szCs w:val="40"/>
          <w:lang w:eastAsia="es-ES"/>
        </w:rPr>
      </w:pPr>
      <w:r w:rsidRPr="00337047">
        <w:rPr>
          <w:rFonts w:ascii="Futura LT Pro Book" w:eastAsia="Times New Roman" w:hAnsi="Futura LT Pro Book" w:cs="Times New Roman"/>
          <w:iCs/>
          <w:caps/>
          <w:color w:val="52AE32" w:themeColor="accent1"/>
          <w:kern w:val="36"/>
          <w:sz w:val="40"/>
          <w:szCs w:val="40"/>
          <w:lang w:eastAsia="es-ES"/>
        </w:rPr>
        <w:lastRenderedPageBreak/>
        <w:t>METHODOLOGIE</w:t>
      </w:r>
    </w:p>
    <w:p w14:paraId="5F9376EF" w14:textId="639C4057" w:rsidR="0010095B" w:rsidRPr="00337047" w:rsidRDefault="003B3CE0" w:rsidP="003B3CE0">
      <w:pPr>
        <w:pStyle w:val="Sous-titreLatoB"/>
        <w:numPr>
          <w:ilvl w:val="1"/>
          <w:numId w:val="11"/>
        </w:numPr>
        <w:rPr>
          <w:lang w:val="fr-FR"/>
        </w:rPr>
      </w:pPr>
      <w:r w:rsidRPr="00337047">
        <w:rPr>
          <w:lang w:val="fr-FR"/>
        </w:rPr>
        <w:t>Description</w:t>
      </w:r>
    </w:p>
    <w:p w14:paraId="1637F15F" w14:textId="1B5D8B40" w:rsidR="0010095B" w:rsidRPr="00337047" w:rsidRDefault="0010095B" w:rsidP="0010095B">
      <w:pPr>
        <w:spacing w:line="264" w:lineRule="auto"/>
        <w:jc w:val="both"/>
        <w:rPr>
          <w:rFonts w:ascii="Lato" w:eastAsiaTheme="minorHAnsi" w:hAnsi="Lato"/>
          <w:lang w:eastAsia="en-US"/>
        </w:rPr>
      </w:pPr>
      <w:r w:rsidRPr="00337047">
        <w:rPr>
          <w:rFonts w:ascii="Lato" w:eastAsiaTheme="minorHAnsi" w:hAnsi="Lato"/>
          <w:lang w:eastAsia="en-US"/>
        </w:rPr>
        <w:t>Le.la consultant</w:t>
      </w:r>
      <w:r w:rsidR="004F3FCD" w:rsidRPr="00337047">
        <w:rPr>
          <w:rFonts w:ascii="Lato" w:eastAsiaTheme="minorHAnsi" w:hAnsi="Lato"/>
          <w:lang w:eastAsia="en-US"/>
        </w:rPr>
        <w:t>.</w:t>
      </w:r>
      <w:r w:rsidRPr="00337047">
        <w:rPr>
          <w:rFonts w:ascii="Lato" w:eastAsiaTheme="minorHAnsi" w:hAnsi="Lato"/>
          <w:lang w:eastAsia="en-US"/>
        </w:rPr>
        <w:t xml:space="preserve">e travaillera en étroite collaboration avec ACF – la coordination basée à Kinshasa et la base en Ituri </w:t>
      </w:r>
      <w:r w:rsidR="004F3FCD" w:rsidRPr="00337047">
        <w:rPr>
          <w:rFonts w:ascii="Lato" w:eastAsiaTheme="minorHAnsi" w:hAnsi="Lato"/>
          <w:lang w:eastAsia="en-US"/>
        </w:rPr>
        <w:t xml:space="preserve">– </w:t>
      </w:r>
      <w:r w:rsidRPr="00337047">
        <w:rPr>
          <w:rFonts w:ascii="Lato" w:eastAsiaTheme="minorHAnsi" w:hAnsi="Lato"/>
          <w:lang w:eastAsia="en-US"/>
        </w:rPr>
        <w:t>et les partenaires de mises en œuvre du projet.</w:t>
      </w:r>
    </w:p>
    <w:p w14:paraId="020C7F0D" w14:textId="6EB3E0E0" w:rsidR="0010095B" w:rsidRPr="00337047" w:rsidRDefault="004F3FCD" w:rsidP="0010095B">
      <w:pPr>
        <w:spacing w:line="264" w:lineRule="auto"/>
        <w:jc w:val="both"/>
        <w:rPr>
          <w:rFonts w:ascii="Lato" w:eastAsiaTheme="minorHAnsi" w:hAnsi="Lato"/>
          <w:lang w:eastAsia="en-US"/>
        </w:rPr>
      </w:pPr>
      <w:r w:rsidRPr="00337047">
        <w:rPr>
          <w:rFonts w:ascii="Lato" w:eastAsiaTheme="minorHAnsi" w:hAnsi="Lato"/>
          <w:lang w:eastAsia="en-US"/>
        </w:rPr>
        <w:t>Le.la consultant.e devra proposer une méthodologie complète et structurée pour le travail qui lui est demandé. Néanmoins, la méthodologie utilisée devra être</w:t>
      </w:r>
      <w:r w:rsidR="0010095B" w:rsidRPr="00337047">
        <w:rPr>
          <w:rFonts w:ascii="Lato" w:eastAsiaTheme="minorHAnsi" w:hAnsi="Lato"/>
          <w:lang w:eastAsia="en-US"/>
        </w:rPr>
        <w:t xml:space="preserve"> mixte : qualitative et quantitative, menée dans une visée analytique. Les résultats seront catégorisés, qualifiés et quantifiés selon l’objectif poursuivi par cette évaluation.</w:t>
      </w:r>
    </w:p>
    <w:p w14:paraId="66956762" w14:textId="061A5E79" w:rsidR="00B64FF8" w:rsidRPr="00337047" w:rsidRDefault="0010095B" w:rsidP="0010095B">
      <w:pPr>
        <w:spacing w:line="264" w:lineRule="auto"/>
        <w:jc w:val="both"/>
        <w:rPr>
          <w:rFonts w:ascii="Lato" w:eastAsiaTheme="minorHAnsi" w:hAnsi="Lato"/>
          <w:lang w:eastAsia="en-US"/>
        </w:rPr>
      </w:pPr>
      <w:r w:rsidRPr="00337047">
        <w:rPr>
          <w:rFonts w:ascii="Lato" w:eastAsiaTheme="minorHAnsi" w:hAnsi="Lato"/>
          <w:lang w:eastAsia="en-US"/>
        </w:rPr>
        <w:t>L</w:t>
      </w:r>
      <w:r w:rsidR="00B64FF8" w:rsidRPr="00337047">
        <w:rPr>
          <w:rFonts w:ascii="Lato" w:eastAsiaTheme="minorHAnsi" w:hAnsi="Lato"/>
          <w:lang w:eastAsia="en-US"/>
        </w:rPr>
        <w:t>a méthodologie qualitative proposée par le.la</w:t>
      </w:r>
      <w:r w:rsidRPr="00337047">
        <w:rPr>
          <w:rFonts w:ascii="Lato" w:eastAsiaTheme="minorHAnsi" w:hAnsi="Lato"/>
          <w:lang w:eastAsia="en-US"/>
        </w:rPr>
        <w:t xml:space="preserve"> consultant</w:t>
      </w:r>
      <w:r w:rsidR="00B64FF8" w:rsidRPr="00337047">
        <w:rPr>
          <w:rFonts w:ascii="Lato" w:eastAsiaTheme="minorHAnsi" w:hAnsi="Lato"/>
          <w:lang w:eastAsia="en-US"/>
        </w:rPr>
        <w:t>.e</w:t>
      </w:r>
      <w:r w:rsidRPr="00337047">
        <w:rPr>
          <w:rFonts w:ascii="Lato" w:eastAsiaTheme="minorHAnsi" w:hAnsi="Lato"/>
          <w:lang w:eastAsia="en-US"/>
        </w:rPr>
        <w:t xml:space="preserve"> </w:t>
      </w:r>
      <w:r w:rsidR="00B64FF8" w:rsidRPr="00337047">
        <w:rPr>
          <w:rFonts w:ascii="Lato" w:eastAsiaTheme="minorHAnsi" w:hAnsi="Lato"/>
          <w:lang w:eastAsia="en-US"/>
        </w:rPr>
        <w:t>pourra intégrer :</w:t>
      </w:r>
    </w:p>
    <w:p w14:paraId="2E41BEED" w14:textId="6B8C4AB7" w:rsidR="004F3FCD" w:rsidRPr="00337047" w:rsidRDefault="004F3FCD" w:rsidP="003E28A6">
      <w:pPr>
        <w:pStyle w:val="Paragraphedeliste"/>
        <w:numPr>
          <w:ilvl w:val="0"/>
          <w:numId w:val="15"/>
        </w:numPr>
        <w:spacing w:line="264" w:lineRule="auto"/>
        <w:jc w:val="both"/>
        <w:rPr>
          <w:rFonts w:ascii="Lato" w:eastAsiaTheme="minorHAnsi" w:hAnsi="Lato"/>
          <w:sz w:val="22"/>
          <w:szCs w:val="22"/>
          <w:lang w:val="fr-FR"/>
        </w:rPr>
      </w:pPr>
      <w:r w:rsidRPr="003E28A6">
        <w:rPr>
          <w:rFonts w:ascii="Lato" w:hAnsi="Lato"/>
          <w:sz w:val="22"/>
          <w:lang w:val="fr-FR"/>
        </w:rPr>
        <w:t>Réaliser une collecte, revue et analyse documentaire (enquête</w:t>
      </w:r>
      <w:r w:rsidR="00D75586" w:rsidRPr="00337047">
        <w:rPr>
          <w:rFonts w:ascii="Lato" w:hAnsi="Lato"/>
          <w:sz w:val="22"/>
          <w:lang w:val="fr-FR"/>
        </w:rPr>
        <w:t>s précédemment réalisées</w:t>
      </w:r>
      <w:r w:rsidRPr="003E28A6">
        <w:rPr>
          <w:rFonts w:ascii="Lato" w:hAnsi="Lato"/>
          <w:sz w:val="22"/>
          <w:lang w:val="fr-FR"/>
        </w:rPr>
        <w:t>, rapports</w:t>
      </w:r>
      <w:r w:rsidR="00D75586" w:rsidRPr="00337047">
        <w:rPr>
          <w:rFonts w:ascii="Lato" w:hAnsi="Lato"/>
          <w:sz w:val="22"/>
          <w:lang w:val="fr-FR"/>
        </w:rPr>
        <w:t>, etc</w:t>
      </w:r>
      <w:r w:rsidRPr="003E28A6">
        <w:rPr>
          <w:rFonts w:ascii="Lato" w:hAnsi="Lato"/>
          <w:sz w:val="22"/>
          <w:lang w:val="fr-FR"/>
        </w:rPr>
        <w:t>.) et établir une bibliographie en privilégiant les données en accès libre</w:t>
      </w:r>
      <w:r w:rsidR="00D75586" w:rsidRPr="00337047">
        <w:rPr>
          <w:rFonts w:ascii="Lato" w:hAnsi="Lato"/>
          <w:sz w:val="22"/>
          <w:lang w:val="fr-FR"/>
        </w:rPr>
        <w:t> ;</w:t>
      </w:r>
    </w:p>
    <w:p w14:paraId="783EC19A" w14:textId="0940B33E" w:rsidR="0010095B" w:rsidRPr="00337047" w:rsidRDefault="0010095B" w:rsidP="003E28A6">
      <w:pPr>
        <w:pStyle w:val="Paragraphedeliste"/>
        <w:numPr>
          <w:ilvl w:val="0"/>
          <w:numId w:val="15"/>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Des sessions d’observations pour collecter les données qui peuvent être observées telles que le comportement (lavage de mains,</w:t>
      </w:r>
      <w:r w:rsidR="006B5E37" w:rsidRPr="00337047">
        <w:rPr>
          <w:rFonts w:ascii="Lato" w:eastAsiaTheme="minorHAnsi" w:hAnsi="Lato"/>
          <w:sz w:val="22"/>
          <w:szCs w:val="22"/>
          <w:lang w:val="fr-FR"/>
        </w:rPr>
        <w:t xml:space="preserve"> la collecte, le transport et le stockage de l’eau, l’utilisation de la latrines hygiéniques,</w:t>
      </w:r>
      <w:r w:rsidRPr="00337047">
        <w:rPr>
          <w:rFonts w:ascii="Lato" w:eastAsiaTheme="minorHAnsi" w:hAnsi="Lato"/>
          <w:sz w:val="22"/>
          <w:szCs w:val="22"/>
          <w:lang w:val="fr-FR"/>
        </w:rPr>
        <w:t xml:space="preserve"> préparation des repas, pratiques agricoles</w:t>
      </w:r>
      <w:r w:rsidR="00D75586" w:rsidRPr="00337047">
        <w:rPr>
          <w:rFonts w:ascii="Lato" w:eastAsiaTheme="minorHAnsi" w:hAnsi="Lato"/>
          <w:sz w:val="22"/>
          <w:szCs w:val="22"/>
          <w:lang w:val="fr-FR"/>
        </w:rPr>
        <w:t>, etc.</w:t>
      </w:r>
      <w:r w:rsidRPr="00337047">
        <w:rPr>
          <w:rFonts w:ascii="Lato" w:eastAsiaTheme="minorHAnsi" w:hAnsi="Lato"/>
          <w:sz w:val="22"/>
          <w:szCs w:val="22"/>
          <w:lang w:val="fr-FR"/>
        </w:rPr>
        <w:t>), les lieux (installation des dispositifs de lavage de mains à domicile, disposition de la vaisselle, etc.), les phrases et interjections</w:t>
      </w:r>
      <w:r w:rsidR="003E28A6">
        <w:rPr>
          <w:rFonts w:ascii="Lato" w:eastAsiaTheme="minorHAnsi" w:hAnsi="Lato"/>
          <w:sz w:val="22"/>
          <w:szCs w:val="22"/>
          <w:lang w:val="fr-FR"/>
        </w:rPr>
        <w:t xml:space="preserve"> (entre </w:t>
      </w:r>
      <w:r w:rsidR="005717F9">
        <w:rPr>
          <w:rFonts w:ascii="Lato" w:eastAsiaTheme="minorHAnsi" w:hAnsi="Lato"/>
          <w:sz w:val="22"/>
          <w:szCs w:val="22"/>
          <w:lang w:val="fr-FR"/>
        </w:rPr>
        <w:t>mère et enfant, entre grand-mère et mère etc.)</w:t>
      </w:r>
      <w:r w:rsidRPr="00337047">
        <w:rPr>
          <w:rFonts w:ascii="Lato" w:eastAsiaTheme="minorHAnsi" w:hAnsi="Lato"/>
          <w:sz w:val="22"/>
          <w:szCs w:val="22"/>
          <w:lang w:val="fr-FR"/>
        </w:rPr>
        <w:t>,</w:t>
      </w:r>
      <w:r w:rsidR="005717F9">
        <w:rPr>
          <w:rFonts w:ascii="Lato" w:eastAsiaTheme="minorHAnsi" w:hAnsi="Lato"/>
          <w:sz w:val="22"/>
          <w:szCs w:val="22"/>
          <w:lang w:val="fr-FR"/>
        </w:rPr>
        <w:t xml:space="preserve"> etc.</w:t>
      </w:r>
      <w:r w:rsidRPr="00337047">
        <w:rPr>
          <w:rFonts w:ascii="Lato" w:eastAsiaTheme="minorHAnsi" w:hAnsi="Lato"/>
          <w:sz w:val="22"/>
          <w:szCs w:val="22"/>
          <w:lang w:val="fr-FR"/>
        </w:rPr>
        <w:t>;</w:t>
      </w:r>
    </w:p>
    <w:p w14:paraId="1A962F5A" w14:textId="4B1752E0" w:rsidR="0010095B" w:rsidRPr="00337047" w:rsidRDefault="0010095B" w:rsidP="00907CE8">
      <w:pPr>
        <w:pStyle w:val="Paragraphedeliste"/>
        <w:numPr>
          <w:ilvl w:val="0"/>
          <w:numId w:val="15"/>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Des entretiens semi-structurés auprès d’informateurs clés ;</w:t>
      </w:r>
    </w:p>
    <w:p w14:paraId="0EA353A9" w14:textId="1A4085BA" w:rsidR="0010095B" w:rsidRPr="00337047" w:rsidRDefault="0010095B" w:rsidP="00907CE8">
      <w:pPr>
        <w:pStyle w:val="Paragraphedeliste"/>
        <w:numPr>
          <w:ilvl w:val="0"/>
          <w:numId w:val="15"/>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De groupes de discussion utiles pour comprendre les idées, les croyances, les pratiques et les comportements usuels ;</w:t>
      </w:r>
    </w:p>
    <w:p w14:paraId="794985A7" w14:textId="484365BF" w:rsidR="0010095B" w:rsidRPr="00907CE8" w:rsidRDefault="0010095B" w:rsidP="00907CE8">
      <w:pPr>
        <w:pStyle w:val="Paragraphedeliste"/>
        <w:numPr>
          <w:ilvl w:val="0"/>
          <w:numId w:val="15"/>
        </w:numPr>
        <w:spacing w:line="264" w:lineRule="auto"/>
        <w:jc w:val="both"/>
        <w:rPr>
          <w:rFonts w:ascii="Lato" w:eastAsiaTheme="minorHAnsi" w:hAnsi="Lato"/>
          <w:sz w:val="22"/>
          <w:szCs w:val="22"/>
          <w:lang w:val="fr-FR"/>
        </w:rPr>
      </w:pPr>
      <w:r w:rsidRPr="00907CE8">
        <w:rPr>
          <w:rFonts w:ascii="Lato" w:eastAsiaTheme="minorHAnsi" w:hAnsi="Lato"/>
          <w:sz w:val="22"/>
          <w:szCs w:val="22"/>
          <w:lang w:val="fr-FR"/>
        </w:rPr>
        <w:t>Etc.</w:t>
      </w:r>
    </w:p>
    <w:p w14:paraId="5CA330D1" w14:textId="77777777" w:rsidR="0010095B" w:rsidRPr="00337047" w:rsidRDefault="0010095B" w:rsidP="0010095B">
      <w:pPr>
        <w:spacing w:line="264" w:lineRule="auto"/>
        <w:jc w:val="both"/>
        <w:rPr>
          <w:rFonts w:ascii="Lato" w:eastAsiaTheme="minorHAnsi" w:hAnsi="Lato"/>
        </w:rPr>
      </w:pPr>
    </w:p>
    <w:p w14:paraId="6EB0D811" w14:textId="3D84FC3E" w:rsidR="0010095B" w:rsidRPr="00337047" w:rsidRDefault="0010095B" w:rsidP="0010095B">
      <w:pPr>
        <w:spacing w:line="264" w:lineRule="auto"/>
        <w:jc w:val="both"/>
        <w:rPr>
          <w:rFonts w:ascii="Lato" w:eastAsiaTheme="minorHAnsi" w:hAnsi="Lato"/>
          <w:lang w:eastAsia="en-US"/>
        </w:rPr>
      </w:pPr>
      <w:r w:rsidRPr="00337047">
        <w:rPr>
          <w:rFonts w:ascii="Lato" w:eastAsiaTheme="minorHAnsi" w:hAnsi="Lato"/>
          <w:lang w:eastAsia="en-US"/>
        </w:rPr>
        <w:t>La méthodologie quantitative sera détaillée en justifiant la méthodologie d’échantillonnage adaptée au cont</w:t>
      </w:r>
      <w:r w:rsidR="00B64FF8" w:rsidRPr="00337047">
        <w:rPr>
          <w:rFonts w:ascii="Lato" w:eastAsiaTheme="minorHAnsi" w:hAnsi="Lato"/>
          <w:lang w:eastAsia="en-US"/>
        </w:rPr>
        <w:t xml:space="preserve">exte de la zone d’intervention. Elle intégrera </w:t>
      </w:r>
      <w:r w:rsidRPr="00337047">
        <w:rPr>
          <w:rFonts w:ascii="Lato" w:eastAsiaTheme="minorHAnsi" w:hAnsi="Lato"/>
          <w:lang w:eastAsia="en-US"/>
        </w:rPr>
        <w:t>le calcul de la taille de l’échantillon. Les critères</w:t>
      </w:r>
      <w:r w:rsidR="005F191B" w:rsidRPr="00337047">
        <w:rPr>
          <w:rFonts w:ascii="Lato" w:eastAsiaTheme="minorHAnsi" w:hAnsi="Lato"/>
          <w:lang w:eastAsia="en-US"/>
        </w:rPr>
        <w:t xml:space="preserve"> / variables d’intérêts</w:t>
      </w:r>
      <w:r w:rsidRPr="00337047">
        <w:rPr>
          <w:rFonts w:ascii="Lato" w:eastAsiaTheme="minorHAnsi" w:hAnsi="Lato"/>
          <w:lang w:eastAsia="en-US"/>
        </w:rPr>
        <w:t xml:space="preserve"> d’échantillonnage – le cas échéant – seront explicités avec précision. La méthodologie de sélection des foyers/répondants devra également être décrite.</w:t>
      </w:r>
    </w:p>
    <w:p w14:paraId="5B9EF43B" w14:textId="28466903" w:rsidR="0010095B" w:rsidRPr="00337047" w:rsidRDefault="0010095B" w:rsidP="0010095B">
      <w:pPr>
        <w:spacing w:line="264" w:lineRule="auto"/>
        <w:jc w:val="both"/>
        <w:rPr>
          <w:rFonts w:ascii="Lato" w:eastAsiaTheme="minorHAnsi" w:hAnsi="Lato"/>
          <w:lang w:eastAsia="en-US"/>
        </w:rPr>
      </w:pPr>
      <w:r w:rsidRPr="00337047">
        <w:rPr>
          <w:rFonts w:ascii="Lato" w:eastAsiaTheme="minorHAnsi" w:hAnsi="Lato"/>
          <w:lang w:eastAsia="en-US"/>
        </w:rPr>
        <w:t>Un cadre et plan d’analyse devront également être éla</w:t>
      </w:r>
      <w:r w:rsidR="005F191B" w:rsidRPr="00337047">
        <w:rPr>
          <w:rFonts w:ascii="Lato" w:eastAsiaTheme="minorHAnsi" w:hAnsi="Lato"/>
          <w:lang w:eastAsia="en-US"/>
        </w:rPr>
        <w:t>borés lors de cette consultance.</w:t>
      </w:r>
    </w:p>
    <w:p w14:paraId="433F015B" w14:textId="169A3994" w:rsidR="0010095B" w:rsidRPr="00337047" w:rsidRDefault="003B3CE0" w:rsidP="003B3CE0">
      <w:pPr>
        <w:pStyle w:val="Sous-titreLatoB"/>
        <w:numPr>
          <w:ilvl w:val="1"/>
          <w:numId w:val="11"/>
        </w:numPr>
        <w:rPr>
          <w:lang w:val="fr-FR"/>
        </w:rPr>
      </w:pPr>
      <w:r w:rsidRPr="00337047">
        <w:rPr>
          <w:lang w:val="fr-FR"/>
        </w:rPr>
        <w:t>Outils de collecte</w:t>
      </w:r>
    </w:p>
    <w:p w14:paraId="42FD3564" w14:textId="598FF77A" w:rsidR="0010095B" w:rsidRPr="00337047" w:rsidRDefault="0010095B" w:rsidP="0010095B">
      <w:pPr>
        <w:spacing w:line="264" w:lineRule="auto"/>
        <w:jc w:val="both"/>
        <w:rPr>
          <w:rFonts w:ascii="Lato" w:eastAsiaTheme="minorHAnsi" w:hAnsi="Lato"/>
          <w:lang w:eastAsia="en-US"/>
        </w:rPr>
      </w:pPr>
      <w:r w:rsidRPr="00337047">
        <w:rPr>
          <w:rFonts w:ascii="Lato" w:eastAsiaTheme="minorHAnsi" w:hAnsi="Lato"/>
          <w:lang w:eastAsia="en-US"/>
        </w:rPr>
        <w:t>L’ensemble des outils de collecte de données – qualitatifs et quantitatifs - seront pro</w:t>
      </w:r>
      <w:r w:rsidR="005F191B" w:rsidRPr="00337047">
        <w:rPr>
          <w:rFonts w:ascii="Lato" w:eastAsiaTheme="minorHAnsi" w:hAnsi="Lato"/>
          <w:lang w:eastAsia="en-US"/>
        </w:rPr>
        <w:t>posés par le.la consultant.e,</w:t>
      </w:r>
      <w:r w:rsidRPr="00337047">
        <w:rPr>
          <w:rFonts w:ascii="Lato" w:eastAsiaTheme="minorHAnsi" w:hAnsi="Lato"/>
          <w:lang w:eastAsia="en-US"/>
        </w:rPr>
        <w:t xml:space="preserve"> revus par l’équipe des Responsables De Départ</w:t>
      </w:r>
      <w:r w:rsidR="005F191B" w:rsidRPr="00337047">
        <w:rPr>
          <w:rFonts w:ascii="Lato" w:eastAsiaTheme="minorHAnsi" w:hAnsi="Lato"/>
          <w:lang w:eastAsia="en-US"/>
        </w:rPr>
        <w:t>ements (RDD) Programmes d’ACF (</w:t>
      </w:r>
      <w:r w:rsidRPr="00337047">
        <w:rPr>
          <w:rFonts w:ascii="Lato" w:eastAsiaTheme="minorHAnsi" w:hAnsi="Lato"/>
          <w:lang w:eastAsia="en-US"/>
        </w:rPr>
        <w:t>RDD SAM</w:t>
      </w:r>
      <w:r w:rsidR="005F191B" w:rsidRPr="00337047">
        <w:rPr>
          <w:rFonts w:ascii="Lato" w:eastAsiaTheme="minorHAnsi" w:hAnsi="Lato"/>
          <w:lang w:eastAsia="en-US"/>
        </w:rPr>
        <w:t>E, RDD EHA, RDD Nutrition Santé</w:t>
      </w:r>
      <w:r w:rsidR="005717F9">
        <w:rPr>
          <w:rFonts w:ascii="Lato" w:eastAsiaTheme="minorHAnsi" w:hAnsi="Lato"/>
          <w:lang w:eastAsia="en-US"/>
        </w:rPr>
        <w:t>, RTO SMPS</w:t>
      </w:r>
      <w:r w:rsidR="005F191B" w:rsidRPr="00337047">
        <w:rPr>
          <w:rFonts w:ascii="Lato" w:eastAsiaTheme="minorHAnsi" w:hAnsi="Lato"/>
          <w:lang w:eastAsia="en-US"/>
        </w:rPr>
        <w:t>) puis validés par le</w:t>
      </w:r>
      <w:r w:rsidRPr="00337047">
        <w:rPr>
          <w:rFonts w:ascii="Lato" w:eastAsiaTheme="minorHAnsi" w:hAnsi="Lato"/>
          <w:lang w:eastAsia="en-US"/>
        </w:rPr>
        <w:t xml:space="preserve"> RDD MEAL.</w:t>
      </w:r>
    </w:p>
    <w:p w14:paraId="2B36CF09" w14:textId="77777777" w:rsidR="0010095B" w:rsidRPr="00337047" w:rsidRDefault="0010095B" w:rsidP="0010095B">
      <w:pPr>
        <w:spacing w:line="264" w:lineRule="auto"/>
        <w:jc w:val="both"/>
        <w:rPr>
          <w:rFonts w:ascii="Lato" w:eastAsiaTheme="minorHAnsi" w:hAnsi="Lato"/>
          <w:lang w:eastAsia="en-US"/>
        </w:rPr>
      </w:pPr>
      <w:r w:rsidRPr="00337047">
        <w:rPr>
          <w:rFonts w:ascii="Lato" w:eastAsiaTheme="minorHAnsi" w:hAnsi="Lato"/>
          <w:lang w:eastAsia="en-US"/>
        </w:rPr>
        <w:t>La collecte de données quantitative pourra être facilitée en ayant recours au vivier d’enquêteurs de la zone d’intervention. La technologie mobile sera utilisée. Les tablettes d’ACF avec l’application Kobo Collect pourront être mises à disposition du.de la consultant.e.</w:t>
      </w:r>
    </w:p>
    <w:p w14:paraId="6688B86B" w14:textId="371040E4" w:rsidR="0010095B" w:rsidRPr="00337047" w:rsidRDefault="006D23F6" w:rsidP="006D23F6">
      <w:pPr>
        <w:pStyle w:val="Sous-titreLatoB"/>
        <w:numPr>
          <w:ilvl w:val="1"/>
          <w:numId w:val="11"/>
        </w:numPr>
        <w:rPr>
          <w:lang w:val="fr-FR"/>
        </w:rPr>
      </w:pPr>
      <w:bookmarkStart w:id="1" w:name="_GoBack"/>
      <w:r w:rsidRPr="00337047">
        <w:rPr>
          <w:lang w:val="fr-FR"/>
        </w:rPr>
        <w:t xml:space="preserve">Nettoyage, traitement et analyse des données </w:t>
      </w:r>
    </w:p>
    <w:bookmarkEnd w:id="1"/>
    <w:p w14:paraId="2617BE3C" w14:textId="402A023D" w:rsidR="0010095B" w:rsidRPr="00337047" w:rsidRDefault="0010095B" w:rsidP="0010095B">
      <w:pPr>
        <w:spacing w:line="264" w:lineRule="auto"/>
        <w:jc w:val="both"/>
        <w:rPr>
          <w:rFonts w:ascii="Lato" w:eastAsiaTheme="minorHAnsi" w:hAnsi="Lato"/>
          <w:lang w:eastAsia="en-US"/>
        </w:rPr>
      </w:pPr>
      <w:r w:rsidRPr="00337047">
        <w:rPr>
          <w:rFonts w:ascii="Lato" w:eastAsiaTheme="minorHAnsi" w:hAnsi="Lato"/>
          <w:lang w:eastAsia="en-US"/>
        </w:rPr>
        <w:t xml:space="preserve">Le.la consultant.e pourra utiliser le logiciel de son choix pour le traitement et l’analyse des données. Les données seront analysées suivant </w:t>
      </w:r>
      <w:r w:rsidR="005F191B" w:rsidRPr="00337047">
        <w:rPr>
          <w:rFonts w:ascii="Lato" w:eastAsiaTheme="minorHAnsi" w:hAnsi="Lato"/>
          <w:lang w:eastAsia="en-US"/>
        </w:rPr>
        <w:t>le</w:t>
      </w:r>
      <w:r w:rsidRPr="00337047">
        <w:rPr>
          <w:rFonts w:ascii="Lato" w:eastAsiaTheme="minorHAnsi" w:hAnsi="Lato"/>
          <w:lang w:eastAsia="en-US"/>
        </w:rPr>
        <w:t xml:space="preserve"> plan d’analyse détaillé conformément aux objectifs spécifiques </w:t>
      </w:r>
      <w:r w:rsidR="006D23F6" w:rsidRPr="00337047">
        <w:rPr>
          <w:rFonts w:ascii="Lato" w:eastAsiaTheme="minorHAnsi" w:hAnsi="Lato"/>
          <w:lang w:eastAsia="en-US"/>
        </w:rPr>
        <w:t>pré-listés</w:t>
      </w:r>
      <w:r w:rsidRPr="00337047">
        <w:rPr>
          <w:rFonts w:ascii="Lato" w:eastAsiaTheme="minorHAnsi" w:hAnsi="Lato"/>
          <w:lang w:eastAsia="en-US"/>
        </w:rPr>
        <w:t>. Ce plan d’analyse sera soumis à validation du RDD MEAL d’ACF.</w:t>
      </w:r>
    </w:p>
    <w:p w14:paraId="02415180" w14:textId="178CA860" w:rsidR="00CA1934" w:rsidRPr="00337047" w:rsidRDefault="0010095B" w:rsidP="0010095B">
      <w:pPr>
        <w:pStyle w:val="Titre1"/>
        <w:numPr>
          <w:ilvl w:val="0"/>
          <w:numId w:val="11"/>
        </w:numPr>
        <w:spacing w:before="100" w:beforeAutospacing="1" w:after="100" w:afterAutospacing="1" w:line="264" w:lineRule="auto"/>
        <w:ind w:left="0" w:firstLine="0"/>
        <w:rPr>
          <w:rFonts w:ascii="Futura LT Pro Book" w:eastAsia="Times New Roman" w:hAnsi="Futura LT Pro Book" w:cs="Times New Roman"/>
          <w:iCs/>
          <w:caps/>
          <w:color w:val="52AE32" w:themeColor="accent1"/>
          <w:kern w:val="36"/>
          <w:sz w:val="40"/>
          <w:szCs w:val="40"/>
          <w:lang w:eastAsia="es-ES"/>
        </w:rPr>
      </w:pPr>
      <w:r w:rsidRPr="00337047">
        <w:rPr>
          <w:rFonts w:ascii="Futura LT Pro Book" w:eastAsia="Times New Roman" w:hAnsi="Futura LT Pro Book" w:cs="Times New Roman"/>
          <w:iCs/>
          <w:caps/>
          <w:color w:val="52AE32" w:themeColor="accent1"/>
          <w:kern w:val="36"/>
          <w:sz w:val="40"/>
          <w:szCs w:val="40"/>
          <w:lang w:eastAsia="es-ES"/>
        </w:rPr>
        <w:lastRenderedPageBreak/>
        <w:t>LIVRABLES ATTENDUS</w:t>
      </w:r>
    </w:p>
    <w:p w14:paraId="1DEF1DD5" w14:textId="5D3AE27C" w:rsidR="0010095B" w:rsidRPr="00337047" w:rsidRDefault="0010095B" w:rsidP="0010095B">
      <w:pPr>
        <w:spacing w:line="264" w:lineRule="auto"/>
        <w:jc w:val="both"/>
        <w:rPr>
          <w:rFonts w:ascii="Lato" w:eastAsiaTheme="minorHAnsi" w:hAnsi="Lato"/>
          <w:lang w:eastAsia="en-US"/>
        </w:rPr>
      </w:pPr>
      <w:r w:rsidRPr="00337047">
        <w:rPr>
          <w:rFonts w:ascii="Lato" w:eastAsiaTheme="minorHAnsi" w:hAnsi="Lato"/>
          <w:lang w:eastAsia="en-US"/>
        </w:rPr>
        <w:t>Le</w:t>
      </w:r>
      <w:r w:rsidR="00D7052F" w:rsidRPr="00337047">
        <w:rPr>
          <w:rFonts w:ascii="Lato" w:eastAsiaTheme="minorHAnsi" w:hAnsi="Lato"/>
          <w:lang w:eastAsia="en-US"/>
        </w:rPr>
        <w:t>.la</w:t>
      </w:r>
      <w:r w:rsidRPr="00337047">
        <w:rPr>
          <w:rFonts w:ascii="Lato" w:eastAsiaTheme="minorHAnsi" w:hAnsi="Lato"/>
          <w:lang w:eastAsia="en-US"/>
        </w:rPr>
        <w:t xml:space="preserve"> consultant devra produire un rapport d’évaluation</w:t>
      </w:r>
      <w:r w:rsidR="00AC0403" w:rsidRPr="00337047">
        <w:rPr>
          <w:rFonts w:ascii="Lato" w:eastAsiaTheme="minorHAnsi" w:hAnsi="Lato"/>
          <w:lang w:eastAsia="en-US"/>
        </w:rPr>
        <w:t xml:space="preserve"> en français de </w:t>
      </w:r>
      <w:r w:rsidR="00AC0403" w:rsidRPr="00337047">
        <w:rPr>
          <w:rFonts w:ascii="Lato" w:eastAsiaTheme="minorHAnsi" w:hAnsi="Lato"/>
        </w:rPr>
        <w:t>50 pages (maximum)</w:t>
      </w:r>
      <w:r w:rsidR="00AC0403" w:rsidRPr="00337047">
        <w:rPr>
          <w:rStyle w:val="Appelnotedebasdep"/>
          <w:rFonts w:ascii="Lato" w:eastAsiaTheme="minorHAnsi" w:hAnsi="Lato"/>
        </w:rPr>
        <w:footnoteReference w:id="13"/>
      </w:r>
      <w:r w:rsidR="00AC0403" w:rsidRPr="00337047">
        <w:rPr>
          <w:rFonts w:ascii="Lato" w:eastAsiaTheme="minorHAnsi" w:hAnsi="Lato"/>
        </w:rPr>
        <w:t xml:space="preserve"> </w:t>
      </w:r>
      <w:r w:rsidRPr="00337047">
        <w:rPr>
          <w:rFonts w:ascii="Lato" w:eastAsiaTheme="minorHAnsi" w:hAnsi="Lato"/>
          <w:lang w:eastAsia="en-US"/>
        </w:rPr>
        <w:t xml:space="preserve"> incluant :</w:t>
      </w:r>
    </w:p>
    <w:p w14:paraId="40B956EB" w14:textId="3D1111A6" w:rsidR="008E0DD0" w:rsidRPr="00337047" w:rsidRDefault="008E0DD0" w:rsidP="00907CE8">
      <w:pPr>
        <w:pStyle w:val="Paragraphedeliste"/>
        <w:numPr>
          <w:ilvl w:val="0"/>
          <w:numId w:val="16"/>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Un sommaire ;</w:t>
      </w:r>
    </w:p>
    <w:p w14:paraId="5CFF5F9D" w14:textId="77777777" w:rsidR="008E0DD0" w:rsidRPr="00337047" w:rsidRDefault="008E0DD0" w:rsidP="00907CE8">
      <w:pPr>
        <w:pStyle w:val="Paragraphedeliste"/>
        <w:numPr>
          <w:ilvl w:val="0"/>
          <w:numId w:val="16"/>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Une table des sigles et des acronymes ;</w:t>
      </w:r>
    </w:p>
    <w:p w14:paraId="61811326" w14:textId="5B654C40" w:rsidR="008E0DD0" w:rsidRPr="00337047" w:rsidRDefault="008E0DD0" w:rsidP="008E0DD0">
      <w:pPr>
        <w:pStyle w:val="Paragraphedeliste"/>
        <w:numPr>
          <w:ilvl w:val="0"/>
          <w:numId w:val="16"/>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Un résumé exécutif de 2 pages (maximum) ;</w:t>
      </w:r>
    </w:p>
    <w:p w14:paraId="582B27B0" w14:textId="701BFD3C" w:rsidR="009644B7" w:rsidRPr="00337047" w:rsidRDefault="009644B7" w:rsidP="008E0DD0">
      <w:pPr>
        <w:pStyle w:val="Paragraphedeliste"/>
        <w:numPr>
          <w:ilvl w:val="0"/>
          <w:numId w:val="16"/>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Une description du contexte ;</w:t>
      </w:r>
    </w:p>
    <w:p w14:paraId="6D0023F1" w14:textId="5A020863" w:rsidR="009644B7" w:rsidRPr="00337047" w:rsidRDefault="009644B7" w:rsidP="008E0DD0">
      <w:pPr>
        <w:pStyle w:val="Paragraphedeliste"/>
        <w:numPr>
          <w:ilvl w:val="0"/>
          <w:numId w:val="16"/>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 xml:space="preserve">Les objectifs de l’enquête ; </w:t>
      </w:r>
    </w:p>
    <w:p w14:paraId="24B0A179" w14:textId="47EB47D0" w:rsidR="009644B7" w:rsidRPr="00337047" w:rsidRDefault="009644B7" w:rsidP="00907CE8">
      <w:pPr>
        <w:pStyle w:val="Paragraphedeliste"/>
        <w:numPr>
          <w:ilvl w:val="0"/>
          <w:numId w:val="16"/>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 xml:space="preserve">Une description de la méthodologie appliquée (incluant biais et limites) ; </w:t>
      </w:r>
    </w:p>
    <w:p w14:paraId="7958289A" w14:textId="33B4F8CB" w:rsidR="0010095B" w:rsidRPr="00337047" w:rsidRDefault="0010095B" w:rsidP="00907CE8">
      <w:pPr>
        <w:pStyle w:val="Paragraphedeliste"/>
        <w:numPr>
          <w:ilvl w:val="0"/>
          <w:numId w:val="16"/>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La situation de référence des connaissances, attitudes et pratiques des populations</w:t>
      </w:r>
      <w:r w:rsidR="00A10CE8" w:rsidRPr="00337047">
        <w:rPr>
          <w:rFonts w:ascii="Lato" w:eastAsiaTheme="minorHAnsi" w:hAnsi="Lato"/>
          <w:sz w:val="22"/>
          <w:szCs w:val="22"/>
          <w:lang w:val="fr-FR"/>
        </w:rPr>
        <w:t>, incluant de fait les besoins en matière de sensibilisation</w:t>
      </w:r>
      <w:r w:rsidRPr="00337047">
        <w:rPr>
          <w:rFonts w:ascii="Lato" w:eastAsiaTheme="minorHAnsi" w:hAnsi="Lato"/>
          <w:sz w:val="22"/>
          <w:szCs w:val="22"/>
          <w:lang w:val="fr-FR"/>
        </w:rPr>
        <w:t> ;</w:t>
      </w:r>
    </w:p>
    <w:p w14:paraId="259DFA27" w14:textId="100245AC" w:rsidR="008E0DD0" w:rsidRPr="00337047" w:rsidRDefault="0010095B" w:rsidP="00907CE8">
      <w:pPr>
        <w:pStyle w:val="Paragraphedeliste"/>
        <w:numPr>
          <w:ilvl w:val="0"/>
          <w:numId w:val="16"/>
        </w:numPr>
        <w:spacing w:line="264" w:lineRule="auto"/>
        <w:jc w:val="both"/>
        <w:rPr>
          <w:rFonts w:ascii="Lato" w:eastAsiaTheme="minorHAnsi" w:hAnsi="Lato"/>
          <w:sz w:val="22"/>
          <w:szCs w:val="22"/>
          <w:lang w:val="fr-FR"/>
        </w:rPr>
      </w:pPr>
      <w:r w:rsidRPr="00337047">
        <w:rPr>
          <w:rFonts w:ascii="Lato" w:eastAsiaTheme="minorHAnsi" w:hAnsi="Lato"/>
          <w:sz w:val="22"/>
          <w:szCs w:val="22"/>
          <w:lang w:val="fr-FR"/>
        </w:rPr>
        <w:t>L’analyse des freins actuels au changement de comportement : barrières, difficultés pour mettre en application les connaissances apprises ;</w:t>
      </w:r>
    </w:p>
    <w:p w14:paraId="628C8FB2" w14:textId="77777777" w:rsidR="008E0DD0" w:rsidRPr="00907CE8" w:rsidRDefault="008E0DD0" w:rsidP="00907CE8">
      <w:pPr>
        <w:pStyle w:val="Paragraphedeliste"/>
        <w:numPr>
          <w:ilvl w:val="0"/>
          <w:numId w:val="16"/>
        </w:numPr>
        <w:spacing w:line="264" w:lineRule="auto"/>
        <w:jc w:val="both"/>
        <w:rPr>
          <w:rFonts w:ascii="Lato" w:eastAsiaTheme="minorHAnsi" w:hAnsi="Lato"/>
          <w:sz w:val="22"/>
          <w:szCs w:val="22"/>
          <w:lang w:val="fr-FR"/>
        </w:rPr>
      </w:pPr>
    </w:p>
    <w:p w14:paraId="2C596261" w14:textId="29B5130B" w:rsidR="00A10CE8" w:rsidRPr="00907CE8" w:rsidRDefault="008E0DD0" w:rsidP="00907CE8">
      <w:pPr>
        <w:pStyle w:val="Paragraphedeliste"/>
        <w:numPr>
          <w:ilvl w:val="0"/>
          <w:numId w:val="16"/>
        </w:numPr>
        <w:spacing w:line="264" w:lineRule="auto"/>
        <w:jc w:val="both"/>
        <w:rPr>
          <w:rFonts w:eastAsiaTheme="minorHAnsi"/>
          <w:lang w:val="fr-FR"/>
        </w:rPr>
      </w:pPr>
      <w:r w:rsidRPr="00907CE8">
        <w:rPr>
          <w:rFonts w:ascii="Lato" w:eastAsiaTheme="minorHAnsi" w:hAnsi="Lato"/>
          <w:sz w:val="22"/>
          <w:szCs w:val="22"/>
          <w:lang w:val="fr-FR"/>
        </w:rPr>
        <w:t>Les annexes</w:t>
      </w:r>
      <w:r w:rsidRPr="00907CE8">
        <w:rPr>
          <w:rFonts w:ascii="Lato" w:eastAsiaTheme="minorHAnsi" w:hAnsi="Lato"/>
          <w:lang w:val="fr-FR"/>
        </w:rPr>
        <w:t xml:space="preserve"> : les outils de collecte de données </w:t>
      </w:r>
      <w:r w:rsidR="00A136E6" w:rsidRPr="00907CE8">
        <w:rPr>
          <w:rFonts w:ascii="Lato" w:eastAsiaTheme="minorHAnsi" w:hAnsi="Lato"/>
          <w:lang w:val="fr-FR"/>
        </w:rPr>
        <w:t xml:space="preserve">quantitatives et qualitatives, les bases de données analysées, </w:t>
      </w:r>
      <w:r w:rsidR="00AC0403" w:rsidRPr="00907CE8">
        <w:rPr>
          <w:rFonts w:ascii="Lato" w:eastAsiaTheme="minorHAnsi" w:hAnsi="Lato"/>
          <w:lang w:val="fr-FR"/>
        </w:rPr>
        <w:t xml:space="preserve">une bibliographie, etc. </w:t>
      </w:r>
    </w:p>
    <w:p w14:paraId="78CB45CF" w14:textId="77777777" w:rsidR="008E0DD0" w:rsidRPr="00907CE8" w:rsidRDefault="008E0DD0" w:rsidP="00907CE8">
      <w:pPr>
        <w:spacing w:line="264" w:lineRule="auto"/>
        <w:jc w:val="both"/>
        <w:rPr>
          <w:rFonts w:ascii="Lato" w:eastAsiaTheme="minorHAnsi" w:hAnsi="Lato"/>
        </w:rPr>
      </w:pPr>
    </w:p>
    <w:p w14:paraId="1C33EDD6" w14:textId="6DC77D34" w:rsidR="00211122" w:rsidRPr="00337047" w:rsidRDefault="00211122" w:rsidP="0010095B">
      <w:pPr>
        <w:spacing w:line="264" w:lineRule="auto"/>
        <w:jc w:val="both"/>
        <w:rPr>
          <w:rFonts w:ascii="Lato" w:eastAsiaTheme="minorHAnsi" w:hAnsi="Lato"/>
          <w:lang w:eastAsia="en-US"/>
        </w:rPr>
      </w:pPr>
      <w:r w:rsidRPr="00337047">
        <w:rPr>
          <w:rFonts w:ascii="Lato" w:eastAsiaTheme="minorHAnsi" w:hAnsi="Lato"/>
          <w:lang w:eastAsia="en-US"/>
        </w:rPr>
        <w:t>Il</w:t>
      </w:r>
      <w:r w:rsidR="00D7052F" w:rsidRPr="00337047">
        <w:rPr>
          <w:rFonts w:ascii="Lato" w:eastAsiaTheme="minorHAnsi" w:hAnsi="Lato"/>
          <w:lang w:eastAsia="en-US"/>
        </w:rPr>
        <w:t>.elle</w:t>
      </w:r>
      <w:r w:rsidRPr="00337047">
        <w:rPr>
          <w:rFonts w:ascii="Lato" w:eastAsiaTheme="minorHAnsi" w:hAnsi="Lato"/>
          <w:lang w:eastAsia="en-US"/>
        </w:rPr>
        <w:t xml:space="preserve"> doit en outre organiser un atelier de restitution des résultats de l’évaluation </w:t>
      </w:r>
      <w:r w:rsidR="00AC0403" w:rsidRPr="00337047">
        <w:rPr>
          <w:rFonts w:ascii="Lato" w:eastAsiaTheme="minorHAnsi" w:hAnsi="Lato"/>
          <w:lang w:eastAsia="en-US"/>
        </w:rPr>
        <w:t>à l’intention</w:t>
      </w:r>
      <w:r w:rsidRPr="00337047">
        <w:rPr>
          <w:rFonts w:ascii="Lato" w:eastAsiaTheme="minorHAnsi" w:hAnsi="Lato"/>
          <w:lang w:eastAsia="en-US"/>
        </w:rPr>
        <w:t xml:space="preserve"> des équipes AFC de </w:t>
      </w:r>
      <w:r w:rsidR="00AC0403" w:rsidRPr="00337047">
        <w:rPr>
          <w:rFonts w:ascii="Lato" w:eastAsiaTheme="minorHAnsi" w:hAnsi="Lato"/>
          <w:lang w:eastAsia="en-US"/>
        </w:rPr>
        <w:t>Kinshasa et de l’Ituri, ainsi que l</w:t>
      </w:r>
      <w:r w:rsidRPr="00337047">
        <w:rPr>
          <w:rFonts w:ascii="Lato" w:eastAsiaTheme="minorHAnsi" w:hAnsi="Lato"/>
          <w:lang w:eastAsia="en-US"/>
        </w:rPr>
        <w:t>es services techniques provinciaux partenaires (BCZ, IPAPEL, PRONANUT</w:t>
      </w:r>
      <w:r w:rsidR="00AC0403" w:rsidRPr="00337047">
        <w:rPr>
          <w:rFonts w:ascii="Lato" w:eastAsiaTheme="minorHAnsi" w:hAnsi="Lato"/>
          <w:lang w:eastAsia="en-US"/>
        </w:rPr>
        <w:t>, etc.)</w:t>
      </w:r>
    </w:p>
    <w:p w14:paraId="76A0DE52" w14:textId="6D0161F7" w:rsidR="0010095B" w:rsidRPr="00337047" w:rsidRDefault="0010095B" w:rsidP="0010095B">
      <w:pPr>
        <w:pStyle w:val="Titre1"/>
        <w:numPr>
          <w:ilvl w:val="0"/>
          <w:numId w:val="11"/>
        </w:numPr>
        <w:spacing w:before="100" w:beforeAutospacing="1" w:after="100" w:afterAutospacing="1" w:line="264" w:lineRule="auto"/>
        <w:ind w:left="0" w:firstLine="0"/>
        <w:rPr>
          <w:rFonts w:ascii="Futura LT Pro Book" w:eastAsia="Times New Roman" w:hAnsi="Futura LT Pro Book" w:cs="Times New Roman"/>
          <w:iCs/>
          <w:caps/>
          <w:color w:val="52AE32" w:themeColor="accent1"/>
          <w:kern w:val="36"/>
          <w:sz w:val="40"/>
          <w:szCs w:val="40"/>
          <w:lang w:eastAsia="es-ES"/>
        </w:rPr>
      </w:pPr>
      <w:r w:rsidRPr="00337047">
        <w:rPr>
          <w:rFonts w:ascii="Futura LT Pro Book" w:eastAsia="Times New Roman" w:hAnsi="Futura LT Pro Book" w:cs="Times New Roman"/>
          <w:iCs/>
          <w:caps/>
          <w:color w:val="52AE32" w:themeColor="accent1"/>
          <w:kern w:val="36"/>
          <w:sz w:val="40"/>
          <w:szCs w:val="40"/>
          <w:lang w:eastAsia="es-ES"/>
        </w:rPr>
        <w:t>CALENDRIER ET PLAN DE TRAVAIL</w:t>
      </w:r>
    </w:p>
    <w:p w14:paraId="66CCA4FF" w14:textId="37BD0D87" w:rsidR="00763CA9" w:rsidRPr="00907CE8" w:rsidRDefault="00763CA9" w:rsidP="00907CE8">
      <w:pPr>
        <w:pStyle w:val="Paragraphedeliste"/>
        <w:numPr>
          <w:ilvl w:val="0"/>
          <w:numId w:val="27"/>
        </w:numPr>
        <w:ind w:left="0"/>
        <w:contextualSpacing/>
        <w:jc w:val="both"/>
        <w:rPr>
          <w:rFonts w:ascii="Lato" w:hAnsi="Lato"/>
          <w:sz w:val="22"/>
          <w:szCs w:val="22"/>
          <w:lang w:val="fr-FR"/>
        </w:rPr>
      </w:pPr>
      <w:r w:rsidRPr="00907CE8">
        <w:rPr>
          <w:rFonts w:ascii="Lato" w:hAnsi="Lato"/>
          <w:sz w:val="22"/>
          <w:szCs w:val="22"/>
          <w:lang w:val="fr-FR"/>
        </w:rPr>
        <w:t>6 jours ouvrés de préparation de la méthodologie, outils et collecte/analyse de données secondaires – à distance</w:t>
      </w:r>
      <w:r w:rsidRPr="00337047">
        <w:rPr>
          <w:rFonts w:ascii="Lato" w:hAnsi="Lato"/>
          <w:sz w:val="22"/>
          <w:szCs w:val="22"/>
          <w:lang w:val="fr-FR"/>
        </w:rPr>
        <w:t> ;</w:t>
      </w:r>
    </w:p>
    <w:p w14:paraId="53E2B436" w14:textId="75AF4CC3" w:rsidR="00763CA9" w:rsidRPr="00907CE8" w:rsidRDefault="00763CA9" w:rsidP="00907CE8">
      <w:pPr>
        <w:pStyle w:val="Paragraphedeliste"/>
        <w:numPr>
          <w:ilvl w:val="0"/>
          <w:numId w:val="27"/>
        </w:numPr>
        <w:ind w:left="0"/>
        <w:contextualSpacing/>
        <w:jc w:val="both"/>
        <w:rPr>
          <w:rFonts w:ascii="Lato" w:hAnsi="Lato"/>
          <w:sz w:val="22"/>
          <w:szCs w:val="22"/>
          <w:lang w:val="fr-FR"/>
        </w:rPr>
      </w:pPr>
      <w:r w:rsidRPr="00907CE8">
        <w:rPr>
          <w:rFonts w:ascii="Lato" w:hAnsi="Lato"/>
          <w:sz w:val="22"/>
          <w:szCs w:val="22"/>
          <w:lang w:val="fr-FR"/>
        </w:rPr>
        <w:t>16 jours ouvrés de formation de l’</w:t>
      </w:r>
      <w:r w:rsidRPr="00337047">
        <w:rPr>
          <w:rFonts w:ascii="Lato" w:hAnsi="Lato"/>
          <w:sz w:val="22"/>
          <w:szCs w:val="22"/>
          <w:lang w:val="fr-FR"/>
        </w:rPr>
        <w:t>Équipe</w:t>
      </w:r>
      <w:r w:rsidRPr="00907CE8">
        <w:rPr>
          <w:rFonts w:ascii="Lato" w:hAnsi="Lato"/>
          <w:sz w:val="22"/>
          <w:szCs w:val="22"/>
          <w:lang w:val="fr-FR"/>
        </w:rPr>
        <w:t xml:space="preserve"> MEAL, de formation des enquêteurs, collecte des données, </w:t>
      </w:r>
      <w:r w:rsidRPr="00337047">
        <w:rPr>
          <w:rFonts w:ascii="Lato" w:hAnsi="Lato"/>
          <w:sz w:val="22"/>
          <w:szCs w:val="22"/>
          <w:lang w:val="fr-FR"/>
        </w:rPr>
        <w:t xml:space="preserve">incluant le déplacement </w:t>
      </w:r>
      <w:r w:rsidRPr="00907CE8">
        <w:rPr>
          <w:rFonts w:ascii="Lato" w:hAnsi="Lato"/>
          <w:sz w:val="22"/>
          <w:szCs w:val="22"/>
          <w:lang w:val="fr-FR"/>
        </w:rPr>
        <w:t>Kinshasa – Ituri</w:t>
      </w:r>
      <w:r w:rsidRPr="00337047">
        <w:rPr>
          <w:rFonts w:ascii="Lato" w:hAnsi="Lato"/>
          <w:sz w:val="22"/>
          <w:szCs w:val="22"/>
          <w:lang w:val="fr-FR"/>
        </w:rPr>
        <w:t> ;</w:t>
      </w:r>
    </w:p>
    <w:p w14:paraId="3B2852D6" w14:textId="4456C6B5" w:rsidR="00763CA9" w:rsidRPr="00907CE8" w:rsidRDefault="00763CA9" w:rsidP="00907CE8">
      <w:pPr>
        <w:pStyle w:val="Paragraphedeliste"/>
        <w:numPr>
          <w:ilvl w:val="0"/>
          <w:numId w:val="27"/>
        </w:numPr>
        <w:ind w:left="0"/>
        <w:contextualSpacing/>
        <w:jc w:val="both"/>
        <w:rPr>
          <w:rFonts w:ascii="Lato" w:hAnsi="Lato"/>
          <w:sz w:val="22"/>
          <w:szCs w:val="22"/>
          <w:lang w:val="fr-FR"/>
        </w:rPr>
      </w:pPr>
      <w:r w:rsidRPr="00907CE8">
        <w:rPr>
          <w:rFonts w:ascii="Lato" w:hAnsi="Lato"/>
          <w:sz w:val="22"/>
          <w:szCs w:val="22"/>
          <w:lang w:val="fr-FR"/>
        </w:rPr>
        <w:t xml:space="preserve">11 </w:t>
      </w:r>
      <w:r w:rsidRPr="00337047">
        <w:rPr>
          <w:rFonts w:ascii="Lato" w:hAnsi="Lato"/>
          <w:sz w:val="22"/>
          <w:szCs w:val="22"/>
          <w:lang w:val="fr-FR"/>
        </w:rPr>
        <w:t>jours</w:t>
      </w:r>
      <w:r w:rsidRPr="00907CE8">
        <w:rPr>
          <w:rFonts w:ascii="Lato" w:hAnsi="Lato"/>
          <w:sz w:val="22"/>
          <w:szCs w:val="22"/>
          <w:lang w:val="fr-FR"/>
        </w:rPr>
        <w:t xml:space="preserve"> de rédaction du rapport final et de ses annexes</w:t>
      </w:r>
      <w:r w:rsidRPr="00337047">
        <w:rPr>
          <w:rFonts w:ascii="Lato" w:hAnsi="Lato"/>
          <w:sz w:val="22"/>
          <w:szCs w:val="22"/>
          <w:lang w:val="fr-FR"/>
        </w:rPr>
        <w:t>, ainsi que la restitution des résultats obtenus ;</w:t>
      </w:r>
    </w:p>
    <w:p w14:paraId="14FE9FB5" w14:textId="7511F9BE" w:rsidR="00763CA9" w:rsidRPr="00907CE8" w:rsidRDefault="00763CA9" w:rsidP="00907CE8">
      <w:pPr>
        <w:contextualSpacing/>
        <w:jc w:val="both"/>
        <w:rPr>
          <w:rFonts w:ascii="Lato" w:hAnsi="Lato"/>
        </w:rPr>
      </w:pPr>
      <w:r w:rsidRPr="00337047">
        <w:rPr>
          <w:rFonts w:ascii="Lato" w:hAnsi="Lato"/>
        </w:rPr>
        <w:sym w:font="Wingdings" w:char="F0E8"/>
      </w:r>
      <w:r w:rsidRPr="00337047">
        <w:rPr>
          <w:rFonts w:ascii="Lato" w:hAnsi="Lato"/>
        </w:rPr>
        <w:t xml:space="preserve"> </w:t>
      </w:r>
      <w:r w:rsidRPr="00907CE8">
        <w:rPr>
          <w:rFonts w:ascii="Lato" w:hAnsi="Lato"/>
        </w:rPr>
        <w:t>Soit 17 jours ouvrés à distance et 16 jours ouvrés en RDC – sans prise en compte des voyages internationaux</w:t>
      </w:r>
    </w:p>
    <w:p w14:paraId="07418C91" w14:textId="026BB98B" w:rsidR="00763CA9" w:rsidRPr="00907CE8" w:rsidRDefault="00763CA9" w:rsidP="00907CE8">
      <w:pPr>
        <w:contextualSpacing/>
        <w:jc w:val="both"/>
        <w:rPr>
          <w:rFonts w:ascii="Lato" w:hAnsi="Lato"/>
        </w:rPr>
      </w:pPr>
    </w:p>
    <w:tbl>
      <w:tblPr>
        <w:tblStyle w:val="TableauGrille4-Accentuation1"/>
        <w:tblpPr w:leftFromText="180" w:rightFromText="180" w:vertAnchor="text" w:horzAnchor="margin" w:tblpY="178"/>
        <w:tblW w:w="5000" w:type="pct"/>
        <w:tblLayout w:type="fixed"/>
        <w:tblLook w:val="04A0" w:firstRow="1" w:lastRow="0" w:firstColumn="1" w:lastColumn="0" w:noHBand="0" w:noVBand="1"/>
      </w:tblPr>
      <w:tblGrid>
        <w:gridCol w:w="3823"/>
        <w:gridCol w:w="1731"/>
        <w:gridCol w:w="2454"/>
        <w:gridCol w:w="1008"/>
      </w:tblGrid>
      <w:tr w:rsidR="00337047" w:rsidRPr="00337047" w14:paraId="5AF9A6B2" w14:textId="77777777" w:rsidTr="00907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78BA57C9" w14:textId="77777777" w:rsidR="00763CA9" w:rsidRPr="00907CE8" w:rsidRDefault="00763CA9" w:rsidP="00337047">
            <w:pPr>
              <w:spacing w:after="0" w:line="240" w:lineRule="auto"/>
              <w:jc w:val="center"/>
              <w:rPr>
                <w:rFonts w:ascii="Lato" w:hAnsi="Lato"/>
                <w:b w:val="0"/>
              </w:rPr>
            </w:pPr>
            <w:r w:rsidRPr="00907CE8">
              <w:rPr>
                <w:rFonts w:ascii="Lato" w:hAnsi="Lato"/>
              </w:rPr>
              <w:t>Activités</w:t>
            </w:r>
          </w:p>
        </w:tc>
        <w:tc>
          <w:tcPr>
            <w:tcW w:w="960" w:type="pct"/>
            <w:vAlign w:val="center"/>
          </w:tcPr>
          <w:p w14:paraId="1FC6B44E" w14:textId="77777777" w:rsidR="00763CA9" w:rsidRPr="00907CE8" w:rsidRDefault="00763CA9" w:rsidP="003370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b w:val="0"/>
              </w:rPr>
            </w:pPr>
            <w:r w:rsidRPr="00907CE8">
              <w:rPr>
                <w:rFonts w:ascii="Lato" w:hAnsi="Lato"/>
              </w:rPr>
              <w:t>Nombre de jours ouvrés</w:t>
            </w:r>
          </w:p>
        </w:tc>
        <w:tc>
          <w:tcPr>
            <w:tcW w:w="1361" w:type="pct"/>
            <w:vAlign w:val="center"/>
          </w:tcPr>
          <w:p w14:paraId="24FFD899" w14:textId="13180A29" w:rsidR="00763CA9" w:rsidRPr="00907CE8" w:rsidRDefault="00337047" w:rsidP="003370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b w:val="0"/>
              </w:rPr>
            </w:pPr>
            <w:r>
              <w:rPr>
                <w:rFonts w:ascii="Lato" w:hAnsi="Lato"/>
              </w:rPr>
              <w:t>Livrables</w:t>
            </w:r>
          </w:p>
        </w:tc>
        <w:tc>
          <w:tcPr>
            <w:tcW w:w="559" w:type="pct"/>
            <w:vAlign w:val="center"/>
          </w:tcPr>
          <w:p w14:paraId="06252B45" w14:textId="77777777" w:rsidR="00763CA9" w:rsidRPr="00907CE8" w:rsidRDefault="00763CA9" w:rsidP="003370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b w:val="0"/>
              </w:rPr>
            </w:pPr>
            <w:r w:rsidRPr="00907CE8">
              <w:rPr>
                <w:rFonts w:ascii="Lato" w:hAnsi="Lato"/>
              </w:rPr>
              <w:t>% de paiement</w:t>
            </w:r>
          </w:p>
        </w:tc>
      </w:tr>
      <w:tr w:rsidR="00337047" w:rsidRPr="00337047" w14:paraId="3751D010" w14:textId="77777777" w:rsidTr="00907CE8">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367CD015" w14:textId="77777777" w:rsidR="00763CA9" w:rsidRPr="00907CE8" w:rsidRDefault="00763CA9" w:rsidP="00337047">
            <w:pPr>
              <w:spacing w:after="0" w:line="240" w:lineRule="auto"/>
              <w:rPr>
                <w:rFonts w:ascii="Lato" w:hAnsi="Lato"/>
              </w:rPr>
            </w:pPr>
            <w:r w:rsidRPr="00907CE8">
              <w:rPr>
                <w:rFonts w:ascii="Lato" w:hAnsi="Lato"/>
              </w:rPr>
              <w:t>Briefings Mission et HQ France + signature contrat</w:t>
            </w:r>
          </w:p>
        </w:tc>
        <w:tc>
          <w:tcPr>
            <w:tcW w:w="960" w:type="pct"/>
            <w:vAlign w:val="center"/>
          </w:tcPr>
          <w:p w14:paraId="6D47922A" w14:textId="77777777" w:rsidR="00763CA9" w:rsidRPr="00907CE8" w:rsidRDefault="00763CA9" w:rsidP="00907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1 (à distance)</w:t>
            </w:r>
          </w:p>
        </w:tc>
        <w:tc>
          <w:tcPr>
            <w:tcW w:w="1361" w:type="pct"/>
            <w:vAlign w:val="center"/>
          </w:tcPr>
          <w:p w14:paraId="6DBF3B9B"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p>
        </w:tc>
        <w:tc>
          <w:tcPr>
            <w:tcW w:w="559" w:type="pct"/>
            <w:vAlign w:val="center"/>
          </w:tcPr>
          <w:p w14:paraId="5C5EAE4E" w14:textId="6821D9EF" w:rsidR="00763CA9" w:rsidRPr="00907CE8" w:rsidRDefault="00907CE8"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15%</w:t>
            </w:r>
          </w:p>
        </w:tc>
      </w:tr>
      <w:tr w:rsidR="00337047" w:rsidRPr="00337047" w14:paraId="1D7152D5" w14:textId="77777777" w:rsidTr="00907CE8">
        <w:trPr>
          <w:trHeight w:val="1695"/>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58A7B49A" w14:textId="77777777" w:rsidR="00763CA9" w:rsidRPr="00907CE8" w:rsidRDefault="00763CA9" w:rsidP="00337047">
            <w:pPr>
              <w:spacing w:after="0" w:line="240" w:lineRule="auto"/>
              <w:rPr>
                <w:rFonts w:ascii="Lato" w:hAnsi="Lato"/>
                <w:color w:val="FF0000"/>
              </w:rPr>
            </w:pPr>
            <w:r w:rsidRPr="00907CE8">
              <w:rPr>
                <w:rFonts w:ascii="Lato" w:hAnsi="Lato"/>
              </w:rPr>
              <w:lastRenderedPageBreak/>
              <w:t>Compilation, revue et analyse des données secondaires + revue des outils de monitoring/évaluation/apprentissage/ redevabilité de la mission</w:t>
            </w:r>
          </w:p>
        </w:tc>
        <w:tc>
          <w:tcPr>
            <w:tcW w:w="960" w:type="pct"/>
            <w:vAlign w:val="center"/>
          </w:tcPr>
          <w:p w14:paraId="34C85A07" w14:textId="77777777" w:rsidR="00763CA9" w:rsidRPr="00907CE8" w:rsidRDefault="00763CA9" w:rsidP="00907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FF0000"/>
              </w:rPr>
            </w:pPr>
            <w:r w:rsidRPr="00907CE8">
              <w:rPr>
                <w:rFonts w:ascii="Lato" w:hAnsi="Lato"/>
              </w:rPr>
              <w:t>2 (à distance)</w:t>
            </w:r>
          </w:p>
        </w:tc>
        <w:tc>
          <w:tcPr>
            <w:tcW w:w="1361" w:type="pct"/>
            <w:vAlign w:val="center"/>
          </w:tcPr>
          <w:p w14:paraId="05328F78"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c>
          <w:tcPr>
            <w:tcW w:w="559" w:type="pct"/>
            <w:vAlign w:val="center"/>
          </w:tcPr>
          <w:p w14:paraId="7FB6A8A9"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r>
      <w:tr w:rsidR="00337047" w:rsidRPr="00337047" w14:paraId="3500606A" w14:textId="77777777" w:rsidTr="00907CE8">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1F837D8A" w14:textId="77777777" w:rsidR="00763CA9" w:rsidRPr="00907CE8" w:rsidRDefault="00763CA9" w:rsidP="00337047">
            <w:pPr>
              <w:spacing w:after="0" w:line="240" w:lineRule="auto"/>
              <w:rPr>
                <w:rFonts w:ascii="Lato" w:hAnsi="Lato"/>
                <w:color w:val="FF0000"/>
              </w:rPr>
            </w:pPr>
            <w:r w:rsidRPr="00907CE8">
              <w:rPr>
                <w:rFonts w:ascii="Lato" w:hAnsi="Lato"/>
              </w:rPr>
              <w:t xml:space="preserve">Définition de la méthodologie &amp; création des supports </w:t>
            </w:r>
          </w:p>
        </w:tc>
        <w:tc>
          <w:tcPr>
            <w:tcW w:w="960" w:type="pct"/>
            <w:vAlign w:val="center"/>
          </w:tcPr>
          <w:p w14:paraId="1273C78A" w14:textId="77777777" w:rsidR="00763CA9" w:rsidRPr="00907CE8" w:rsidRDefault="00763CA9" w:rsidP="00907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ato" w:hAnsi="Lato"/>
                <w:color w:val="FF0000"/>
              </w:rPr>
            </w:pPr>
            <w:r w:rsidRPr="00907CE8">
              <w:rPr>
                <w:rFonts w:ascii="Lato" w:hAnsi="Lato"/>
              </w:rPr>
              <w:t>3 (à distance)</w:t>
            </w:r>
          </w:p>
        </w:tc>
        <w:tc>
          <w:tcPr>
            <w:tcW w:w="1361" w:type="pct"/>
            <w:vAlign w:val="center"/>
          </w:tcPr>
          <w:p w14:paraId="7EBAB9A4"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TDR Analyse (budget, planning, besoins matériels et log)</w:t>
            </w:r>
          </w:p>
          <w:p w14:paraId="5C70D7D7" w14:textId="5011DD07" w:rsidR="00763CA9" w:rsidRPr="00907CE8" w:rsidRDefault="00BF2638"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Note de cadrage de la m</w:t>
            </w:r>
            <w:r w:rsidR="00763CA9" w:rsidRPr="00907CE8">
              <w:rPr>
                <w:rFonts w:ascii="Lato" w:hAnsi="Lato"/>
              </w:rPr>
              <w:t>éthodologie</w:t>
            </w:r>
            <w:r>
              <w:rPr>
                <w:rFonts w:ascii="Lato" w:hAnsi="Lato"/>
              </w:rPr>
              <w:t xml:space="preserve"> employée</w:t>
            </w:r>
          </w:p>
          <w:p w14:paraId="70153855"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Module de formation enquêteurs</w:t>
            </w:r>
          </w:p>
        </w:tc>
        <w:tc>
          <w:tcPr>
            <w:tcW w:w="559" w:type="pct"/>
            <w:vAlign w:val="center"/>
          </w:tcPr>
          <w:p w14:paraId="791EFDED" w14:textId="77777777" w:rsidR="00763CA9" w:rsidRPr="00907CE8" w:rsidRDefault="00763CA9" w:rsidP="00337047">
            <w:pPr>
              <w:pStyle w:val="Paragraphedeliste"/>
              <w:cnfStyle w:val="000000100000" w:firstRow="0" w:lastRow="0" w:firstColumn="0" w:lastColumn="0" w:oddVBand="0" w:evenVBand="0" w:oddHBand="1" w:evenHBand="0" w:firstRowFirstColumn="0" w:firstRowLastColumn="0" w:lastRowFirstColumn="0" w:lastRowLastColumn="0"/>
              <w:rPr>
                <w:rFonts w:ascii="Lato" w:hAnsi="Lato"/>
                <w:sz w:val="22"/>
                <w:szCs w:val="22"/>
                <w:lang w:val="fr-FR"/>
              </w:rPr>
            </w:pPr>
          </w:p>
        </w:tc>
      </w:tr>
      <w:tr w:rsidR="00337047" w:rsidRPr="00337047" w14:paraId="5CC07940" w14:textId="77777777" w:rsidTr="00907CE8">
        <w:trPr>
          <w:trHeight w:val="2270"/>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6A7F8AF6" w14:textId="717E48A2" w:rsidR="00763CA9" w:rsidRPr="00907CE8" w:rsidRDefault="00BF2638" w:rsidP="003E28A6">
            <w:pPr>
              <w:spacing w:after="0" w:line="240" w:lineRule="auto"/>
              <w:rPr>
                <w:rFonts w:ascii="Lato" w:hAnsi="Lato"/>
              </w:rPr>
            </w:pPr>
            <w:r>
              <w:rPr>
                <w:rFonts w:ascii="Lato" w:hAnsi="Lato"/>
              </w:rPr>
              <w:t>Présentation</w:t>
            </w:r>
            <w:r w:rsidR="00763CA9" w:rsidRPr="00907CE8">
              <w:rPr>
                <w:rFonts w:ascii="Lato" w:hAnsi="Lato"/>
              </w:rPr>
              <w:t xml:space="preserve"> </w:t>
            </w:r>
            <w:r>
              <w:rPr>
                <w:rFonts w:ascii="Lato" w:hAnsi="Lato"/>
              </w:rPr>
              <w:t>à l’</w:t>
            </w:r>
            <w:r w:rsidR="00763CA9" w:rsidRPr="00907CE8">
              <w:rPr>
                <w:rFonts w:ascii="Lato" w:hAnsi="Lato"/>
              </w:rPr>
              <w:t xml:space="preserve">équipe </w:t>
            </w:r>
            <w:r>
              <w:rPr>
                <w:rFonts w:ascii="Lato" w:hAnsi="Lato"/>
              </w:rPr>
              <w:t>Coordination</w:t>
            </w:r>
            <w:r w:rsidR="00763CA9" w:rsidRPr="00907CE8">
              <w:rPr>
                <w:rFonts w:ascii="Lato" w:hAnsi="Lato"/>
              </w:rPr>
              <w:t xml:space="preserve"> Kinshasa </w:t>
            </w:r>
          </w:p>
        </w:tc>
        <w:tc>
          <w:tcPr>
            <w:tcW w:w="960" w:type="pct"/>
            <w:vAlign w:val="center"/>
          </w:tcPr>
          <w:p w14:paraId="3A02F202" w14:textId="77777777" w:rsidR="00763CA9" w:rsidRPr="00907CE8" w:rsidRDefault="00763CA9" w:rsidP="00907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ato" w:hAnsi="Lato"/>
              </w:rPr>
            </w:pPr>
            <w:r w:rsidRPr="00907CE8">
              <w:rPr>
                <w:rFonts w:ascii="Lato" w:hAnsi="Lato"/>
              </w:rPr>
              <w:t>1 (sur place)</w:t>
            </w:r>
          </w:p>
        </w:tc>
        <w:tc>
          <w:tcPr>
            <w:tcW w:w="1361" w:type="pct"/>
            <w:vAlign w:val="center"/>
          </w:tcPr>
          <w:p w14:paraId="1E0B0D1F" w14:textId="0B89EAD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r w:rsidRPr="00907CE8">
              <w:rPr>
                <w:rFonts w:ascii="Lato" w:hAnsi="Lato"/>
              </w:rPr>
              <w:t>PowerPoint de la</w:t>
            </w:r>
            <w:r w:rsidR="00A25F97">
              <w:rPr>
                <w:rFonts w:ascii="Lato" w:hAnsi="Lato"/>
              </w:rPr>
              <w:t xml:space="preserve"> présentation des objectifs, planning et méthodologie de l’enquête</w:t>
            </w:r>
            <w:r w:rsidRPr="00907CE8">
              <w:rPr>
                <w:rFonts w:ascii="Lato" w:hAnsi="Lato"/>
              </w:rPr>
              <w:t xml:space="preserve"> </w:t>
            </w:r>
          </w:p>
          <w:p w14:paraId="2903224C"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p w14:paraId="784794BF" w14:textId="418A26EC" w:rsidR="00763CA9" w:rsidRPr="00907CE8" w:rsidRDefault="00763CA9" w:rsidP="003E28A6">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c>
          <w:tcPr>
            <w:tcW w:w="559" w:type="pct"/>
            <w:vAlign w:val="center"/>
          </w:tcPr>
          <w:p w14:paraId="6D226D1A"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r>
      <w:tr w:rsidR="00337047" w:rsidRPr="00337047" w14:paraId="7D4802A8" w14:textId="77777777" w:rsidTr="00907CE8">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5EF8815D" w14:textId="77777777" w:rsidR="00763CA9" w:rsidRPr="00907CE8" w:rsidRDefault="00763CA9" w:rsidP="00337047">
            <w:pPr>
              <w:spacing w:after="0" w:line="240" w:lineRule="auto"/>
              <w:rPr>
                <w:rFonts w:ascii="Lato" w:hAnsi="Lato"/>
              </w:rPr>
            </w:pPr>
            <w:r w:rsidRPr="00907CE8">
              <w:rPr>
                <w:rFonts w:ascii="Lato" w:hAnsi="Lato"/>
              </w:rPr>
              <w:t>Voyage Kinshasa-Bunia &amp; briefing secu,  ajustement TdR, préparation logistique/matérielle</w:t>
            </w:r>
          </w:p>
        </w:tc>
        <w:tc>
          <w:tcPr>
            <w:tcW w:w="960" w:type="pct"/>
            <w:vAlign w:val="center"/>
          </w:tcPr>
          <w:p w14:paraId="7E87A2F3" w14:textId="77777777" w:rsidR="00763CA9" w:rsidRPr="00907CE8" w:rsidRDefault="00763CA9" w:rsidP="00907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1 (sur place)</w:t>
            </w:r>
          </w:p>
        </w:tc>
        <w:tc>
          <w:tcPr>
            <w:tcW w:w="1361" w:type="pct"/>
            <w:vAlign w:val="center"/>
          </w:tcPr>
          <w:p w14:paraId="34834023"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p>
        </w:tc>
        <w:tc>
          <w:tcPr>
            <w:tcW w:w="559" w:type="pct"/>
            <w:vAlign w:val="center"/>
          </w:tcPr>
          <w:p w14:paraId="2A403BEF"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p>
        </w:tc>
      </w:tr>
      <w:tr w:rsidR="00337047" w:rsidRPr="00337047" w14:paraId="182AA351" w14:textId="77777777" w:rsidTr="00907CE8">
        <w:trPr>
          <w:trHeight w:val="693"/>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4E9AE822" w14:textId="77777777" w:rsidR="00763CA9" w:rsidRPr="00907CE8" w:rsidRDefault="00763CA9" w:rsidP="00337047">
            <w:pPr>
              <w:spacing w:after="0" w:line="240" w:lineRule="auto"/>
              <w:rPr>
                <w:rFonts w:ascii="Lato" w:hAnsi="Lato"/>
              </w:rPr>
            </w:pPr>
            <w:r w:rsidRPr="00907CE8">
              <w:rPr>
                <w:rFonts w:ascii="Lato" w:hAnsi="Lato"/>
              </w:rPr>
              <w:t>Voyage Bunia-Mambassa</w:t>
            </w:r>
          </w:p>
        </w:tc>
        <w:tc>
          <w:tcPr>
            <w:tcW w:w="960" w:type="pct"/>
            <w:vAlign w:val="center"/>
          </w:tcPr>
          <w:p w14:paraId="27C838FE" w14:textId="77777777" w:rsidR="00763CA9" w:rsidRPr="00907CE8" w:rsidRDefault="00763CA9" w:rsidP="00907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ato" w:hAnsi="Lato"/>
              </w:rPr>
            </w:pPr>
            <w:r w:rsidRPr="00907CE8">
              <w:rPr>
                <w:rFonts w:ascii="Lato" w:hAnsi="Lato"/>
              </w:rPr>
              <w:t>1 (sur place)</w:t>
            </w:r>
          </w:p>
        </w:tc>
        <w:tc>
          <w:tcPr>
            <w:tcW w:w="1361" w:type="pct"/>
            <w:vAlign w:val="center"/>
          </w:tcPr>
          <w:p w14:paraId="473F3D8B"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c>
          <w:tcPr>
            <w:tcW w:w="559" w:type="pct"/>
            <w:vAlign w:val="center"/>
          </w:tcPr>
          <w:p w14:paraId="6028CC18"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r>
      <w:tr w:rsidR="00337047" w:rsidRPr="00337047" w14:paraId="084B587B" w14:textId="77777777" w:rsidTr="00907CE8">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36C811CC" w14:textId="77777777" w:rsidR="00763CA9" w:rsidRPr="00907CE8" w:rsidRDefault="00763CA9" w:rsidP="00337047">
            <w:pPr>
              <w:spacing w:after="0" w:line="240" w:lineRule="auto"/>
              <w:rPr>
                <w:rFonts w:ascii="Lato" w:hAnsi="Lato"/>
              </w:rPr>
            </w:pPr>
            <w:r w:rsidRPr="00907CE8">
              <w:rPr>
                <w:rFonts w:ascii="Lato" w:hAnsi="Lato"/>
              </w:rPr>
              <w:t xml:space="preserve">Formation des enquêteurs &amp; pre-test </w:t>
            </w:r>
          </w:p>
        </w:tc>
        <w:tc>
          <w:tcPr>
            <w:tcW w:w="960" w:type="pct"/>
            <w:vAlign w:val="center"/>
          </w:tcPr>
          <w:p w14:paraId="345FA1DE" w14:textId="77777777" w:rsidR="00763CA9" w:rsidRPr="00907CE8" w:rsidRDefault="00763CA9" w:rsidP="00907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2 (sur place)</w:t>
            </w:r>
          </w:p>
        </w:tc>
        <w:tc>
          <w:tcPr>
            <w:tcW w:w="1361" w:type="pct"/>
            <w:vAlign w:val="center"/>
          </w:tcPr>
          <w:p w14:paraId="53D1848F"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p>
        </w:tc>
        <w:tc>
          <w:tcPr>
            <w:tcW w:w="559" w:type="pct"/>
            <w:vAlign w:val="center"/>
          </w:tcPr>
          <w:p w14:paraId="27D743A8"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p>
        </w:tc>
      </w:tr>
      <w:tr w:rsidR="00337047" w:rsidRPr="00337047" w14:paraId="73E0CF30" w14:textId="77777777" w:rsidTr="00907CE8">
        <w:trPr>
          <w:trHeight w:val="568"/>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4D8E0EFF" w14:textId="77777777" w:rsidR="00763CA9" w:rsidRPr="00907CE8" w:rsidRDefault="00763CA9" w:rsidP="00337047">
            <w:pPr>
              <w:spacing w:after="0" w:line="240" w:lineRule="auto"/>
              <w:rPr>
                <w:rFonts w:ascii="Lato" w:hAnsi="Lato"/>
              </w:rPr>
            </w:pPr>
            <w:r w:rsidRPr="00907CE8">
              <w:rPr>
                <w:rFonts w:ascii="Lato" w:hAnsi="Lato"/>
              </w:rPr>
              <w:t>Collecte de données</w:t>
            </w:r>
          </w:p>
        </w:tc>
        <w:tc>
          <w:tcPr>
            <w:tcW w:w="960" w:type="pct"/>
            <w:vAlign w:val="center"/>
          </w:tcPr>
          <w:p w14:paraId="5DE21BD6" w14:textId="77777777" w:rsidR="00763CA9" w:rsidRPr="00907CE8" w:rsidRDefault="00763CA9" w:rsidP="00907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ato" w:hAnsi="Lato"/>
              </w:rPr>
            </w:pPr>
            <w:r w:rsidRPr="00907CE8">
              <w:rPr>
                <w:rFonts w:ascii="Lato" w:hAnsi="Lato"/>
              </w:rPr>
              <w:t>8 (sur place)</w:t>
            </w:r>
          </w:p>
        </w:tc>
        <w:tc>
          <w:tcPr>
            <w:tcW w:w="1361" w:type="pct"/>
            <w:vAlign w:val="center"/>
          </w:tcPr>
          <w:p w14:paraId="4652BA5B"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c>
          <w:tcPr>
            <w:tcW w:w="559" w:type="pct"/>
            <w:vAlign w:val="center"/>
          </w:tcPr>
          <w:p w14:paraId="6EC41830"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r>
      <w:tr w:rsidR="00337047" w:rsidRPr="00337047" w14:paraId="7D2C6ECC" w14:textId="77777777" w:rsidTr="00907CE8">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1279580E" w14:textId="77777777" w:rsidR="00763CA9" w:rsidRPr="00907CE8" w:rsidRDefault="00763CA9" w:rsidP="00337047">
            <w:pPr>
              <w:spacing w:after="0" w:line="240" w:lineRule="auto"/>
              <w:rPr>
                <w:rFonts w:ascii="Lato" w:hAnsi="Lato"/>
              </w:rPr>
            </w:pPr>
            <w:r w:rsidRPr="00907CE8">
              <w:rPr>
                <w:rFonts w:ascii="Lato" w:hAnsi="Lato"/>
              </w:rPr>
              <w:t>Voyage Mambassa – Bunia &amp; finalisation encodage données + debrief à Bunia</w:t>
            </w:r>
          </w:p>
        </w:tc>
        <w:tc>
          <w:tcPr>
            <w:tcW w:w="960" w:type="pct"/>
            <w:vAlign w:val="center"/>
          </w:tcPr>
          <w:p w14:paraId="5433CF0D" w14:textId="77777777" w:rsidR="00763CA9" w:rsidRPr="00907CE8" w:rsidRDefault="00763CA9" w:rsidP="00907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1 (sur place)</w:t>
            </w:r>
          </w:p>
        </w:tc>
        <w:tc>
          <w:tcPr>
            <w:tcW w:w="1361" w:type="pct"/>
            <w:vAlign w:val="center"/>
          </w:tcPr>
          <w:p w14:paraId="629B07E0"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Base de données</w:t>
            </w:r>
          </w:p>
        </w:tc>
        <w:tc>
          <w:tcPr>
            <w:tcW w:w="559" w:type="pct"/>
            <w:vAlign w:val="center"/>
          </w:tcPr>
          <w:p w14:paraId="708A1AA0"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p>
        </w:tc>
      </w:tr>
      <w:tr w:rsidR="00337047" w:rsidRPr="00337047" w14:paraId="2C9CDEE3" w14:textId="77777777" w:rsidTr="00907CE8">
        <w:trPr>
          <w:trHeight w:val="847"/>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2CA37FEC" w14:textId="10FEBB48" w:rsidR="00763CA9" w:rsidRPr="00907CE8" w:rsidRDefault="00763CA9" w:rsidP="00337047">
            <w:pPr>
              <w:spacing w:after="0" w:line="240" w:lineRule="auto"/>
              <w:rPr>
                <w:rFonts w:ascii="Lato" w:hAnsi="Lato"/>
                <w:lang w:val="en-US"/>
              </w:rPr>
            </w:pPr>
            <w:r w:rsidRPr="00907CE8">
              <w:rPr>
                <w:rFonts w:ascii="Lato" w:hAnsi="Lato"/>
                <w:lang w:val="en-US"/>
              </w:rPr>
              <w:t xml:space="preserve">Voyage Bunia – Kinshasa + debrief </w:t>
            </w:r>
            <w:r w:rsidR="000B5707">
              <w:rPr>
                <w:rFonts w:ascii="Lato" w:hAnsi="Lato"/>
                <w:lang w:val="en-US"/>
              </w:rPr>
              <w:t>à la</w:t>
            </w:r>
            <w:r w:rsidRPr="00907CE8">
              <w:rPr>
                <w:rFonts w:ascii="Lato" w:hAnsi="Lato"/>
                <w:lang w:val="en-US"/>
              </w:rPr>
              <w:t xml:space="preserve"> coordination</w:t>
            </w:r>
          </w:p>
        </w:tc>
        <w:tc>
          <w:tcPr>
            <w:tcW w:w="960" w:type="pct"/>
            <w:vAlign w:val="center"/>
          </w:tcPr>
          <w:p w14:paraId="176F454C" w14:textId="34FED57A" w:rsidR="00763CA9" w:rsidRPr="00907CE8" w:rsidRDefault="00763CA9" w:rsidP="00907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ato" w:hAnsi="Lato"/>
              </w:rPr>
            </w:pPr>
            <w:r w:rsidRPr="00907CE8">
              <w:rPr>
                <w:rFonts w:ascii="Lato" w:hAnsi="Lato"/>
              </w:rPr>
              <w:t>1 (sur place)</w:t>
            </w:r>
          </w:p>
        </w:tc>
        <w:tc>
          <w:tcPr>
            <w:tcW w:w="1361" w:type="pct"/>
            <w:vAlign w:val="center"/>
          </w:tcPr>
          <w:p w14:paraId="22C22FCE"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c>
          <w:tcPr>
            <w:tcW w:w="559" w:type="pct"/>
            <w:vAlign w:val="center"/>
          </w:tcPr>
          <w:p w14:paraId="0EB0B859" w14:textId="77777777" w:rsidR="00763CA9" w:rsidRPr="00907CE8" w:rsidRDefault="00763CA9"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p>
        </w:tc>
      </w:tr>
      <w:tr w:rsidR="00337047" w:rsidRPr="00337047" w14:paraId="628AD44A" w14:textId="77777777" w:rsidTr="00907CE8">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191F78EB" w14:textId="625780D2" w:rsidR="00763CA9" w:rsidRPr="00907CE8" w:rsidRDefault="00763CA9" w:rsidP="00907CE8">
            <w:pPr>
              <w:spacing w:after="0" w:line="240" w:lineRule="auto"/>
              <w:rPr>
                <w:rFonts w:ascii="Lato" w:hAnsi="Lato"/>
                <w:color w:val="FF0000"/>
              </w:rPr>
            </w:pPr>
            <w:r w:rsidRPr="00907CE8">
              <w:rPr>
                <w:rFonts w:ascii="Lato" w:hAnsi="Lato"/>
              </w:rPr>
              <w:t>Rédaction rapport, développement présentation de restitution</w:t>
            </w:r>
          </w:p>
        </w:tc>
        <w:tc>
          <w:tcPr>
            <w:tcW w:w="960" w:type="pct"/>
            <w:vAlign w:val="center"/>
          </w:tcPr>
          <w:p w14:paraId="676E89AA" w14:textId="77777777" w:rsidR="00763CA9" w:rsidRPr="00907CE8" w:rsidRDefault="00763CA9" w:rsidP="00907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8 (à distance)</w:t>
            </w:r>
          </w:p>
        </w:tc>
        <w:tc>
          <w:tcPr>
            <w:tcW w:w="1361" w:type="pct"/>
            <w:vAlign w:val="center"/>
          </w:tcPr>
          <w:p w14:paraId="16A424BD" w14:textId="6C03F0E4" w:rsidR="00763CA9" w:rsidRPr="00907CE8" w:rsidRDefault="00763CA9" w:rsidP="003E28A6">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 xml:space="preserve">Rapport </w:t>
            </w:r>
            <w:r w:rsidR="00A25F97">
              <w:rPr>
                <w:rFonts w:ascii="Lato" w:hAnsi="Lato"/>
              </w:rPr>
              <w:t>d’</w:t>
            </w:r>
            <w:r w:rsidRPr="00907CE8">
              <w:rPr>
                <w:rFonts w:ascii="Lato" w:hAnsi="Lato"/>
              </w:rPr>
              <w:t>analyse</w:t>
            </w:r>
            <w:r w:rsidR="00A25F97">
              <w:rPr>
                <w:rFonts w:ascii="Lato" w:hAnsi="Lato"/>
              </w:rPr>
              <w:t xml:space="preserve"> CAP</w:t>
            </w:r>
            <w:r w:rsidRPr="00907CE8">
              <w:rPr>
                <w:rFonts w:ascii="Lato" w:hAnsi="Lato"/>
              </w:rPr>
              <w:t xml:space="preserve"> incluant annexes</w:t>
            </w:r>
          </w:p>
        </w:tc>
        <w:tc>
          <w:tcPr>
            <w:tcW w:w="559" w:type="pct"/>
            <w:vAlign w:val="center"/>
          </w:tcPr>
          <w:p w14:paraId="3222224E" w14:textId="77777777" w:rsidR="00763CA9" w:rsidRPr="00907CE8" w:rsidRDefault="00763CA9" w:rsidP="00337047">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p>
        </w:tc>
      </w:tr>
      <w:tr w:rsidR="00337047" w:rsidRPr="00337047" w14:paraId="0D2D4504" w14:textId="77777777" w:rsidTr="00907CE8">
        <w:trPr>
          <w:trHeight w:val="3805"/>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02FEFF71" w14:textId="010586A2" w:rsidR="00763CA9" w:rsidRPr="00907CE8" w:rsidRDefault="00763CA9" w:rsidP="00907CE8">
            <w:pPr>
              <w:spacing w:after="0" w:line="240" w:lineRule="auto"/>
              <w:rPr>
                <w:rFonts w:ascii="Lato" w:hAnsi="Lato"/>
              </w:rPr>
            </w:pPr>
            <w:r w:rsidRPr="00907CE8">
              <w:rPr>
                <w:rFonts w:ascii="Lato" w:hAnsi="Lato"/>
              </w:rPr>
              <w:lastRenderedPageBreak/>
              <w:t xml:space="preserve">Atelier de restitution </w:t>
            </w:r>
          </w:p>
        </w:tc>
        <w:tc>
          <w:tcPr>
            <w:tcW w:w="960" w:type="pct"/>
            <w:vAlign w:val="center"/>
          </w:tcPr>
          <w:p w14:paraId="0B9A3C64" w14:textId="77777777" w:rsidR="00763CA9" w:rsidRPr="00907CE8" w:rsidRDefault="00763CA9" w:rsidP="00907C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ato" w:hAnsi="Lato"/>
              </w:rPr>
            </w:pPr>
            <w:r w:rsidRPr="00907CE8">
              <w:rPr>
                <w:rFonts w:ascii="Lato" w:hAnsi="Lato"/>
              </w:rPr>
              <w:t>1 (à distance)</w:t>
            </w:r>
          </w:p>
        </w:tc>
        <w:tc>
          <w:tcPr>
            <w:tcW w:w="1361" w:type="pct"/>
            <w:vAlign w:val="center"/>
          </w:tcPr>
          <w:p w14:paraId="6903D0E9" w14:textId="78C950E3" w:rsidR="00763CA9" w:rsidRPr="00907CE8" w:rsidRDefault="00763CA9" w:rsidP="003E28A6">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r w:rsidRPr="00907CE8">
              <w:rPr>
                <w:rFonts w:ascii="Lato" w:hAnsi="Lato"/>
              </w:rPr>
              <w:t>Présentation PowerPoint de l’atelier de restitution de l’analyse</w:t>
            </w:r>
            <w:r w:rsidR="00A25F97">
              <w:rPr>
                <w:rFonts w:ascii="Lato" w:hAnsi="Lato"/>
              </w:rPr>
              <w:t xml:space="preserve"> CAP</w:t>
            </w:r>
            <w:r w:rsidRPr="00907CE8">
              <w:rPr>
                <w:rFonts w:ascii="Lato" w:hAnsi="Lato"/>
              </w:rPr>
              <w:t xml:space="preserve"> </w:t>
            </w:r>
          </w:p>
        </w:tc>
        <w:tc>
          <w:tcPr>
            <w:tcW w:w="559" w:type="pct"/>
            <w:vAlign w:val="center"/>
          </w:tcPr>
          <w:p w14:paraId="52727CDE" w14:textId="704A37D8" w:rsidR="00763CA9" w:rsidRPr="00907CE8" w:rsidRDefault="00907CE8" w:rsidP="00337047">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35%</w:t>
            </w:r>
          </w:p>
        </w:tc>
      </w:tr>
      <w:tr w:rsidR="00337047" w:rsidRPr="00337047" w14:paraId="76BE9B9B" w14:textId="77777777" w:rsidTr="00907CE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0" w:type="pct"/>
            <w:vAlign w:val="center"/>
          </w:tcPr>
          <w:p w14:paraId="1CBD614E" w14:textId="1B8E129A" w:rsidR="00763CA9" w:rsidRPr="00907CE8" w:rsidRDefault="00763CA9" w:rsidP="00337047">
            <w:pPr>
              <w:spacing w:after="0" w:line="240" w:lineRule="auto"/>
              <w:rPr>
                <w:rFonts w:ascii="Lato" w:hAnsi="Lato"/>
              </w:rPr>
            </w:pPr>
            <w:r w:rsidRPr="00907CE8">
              <w:rPr>
                <w:rFonts w:ascii="Lato" w:hAnsi="Lato"/>
              </w:rPr>
              <w:t xml:space="preserve">Finalisation des </w:t>
            </w:r>
            <w:r w:rsidR="000B5707">
              <w:rPr>
                <w:rFonts w:ascii="Lato" w:hAnsi="Lato"/>
              </w:rPr>
              <w:t>livrables</w:t>
            </w:r>
            <w:r w:rsidRPr="00907CE8">
              <w:rPr>
                <w:rFonts w:ascii="Lato" w:hAnsi="Lato"/>
              </w:rPr>
              <w:t xml:space="preserve"> suites aux retours d’ACF</w:t>
            </w:r>
          </w:p>
        </w:tc>
        <w:tc>
          <w:tcPr>
            <w:tcW w:w="960" w:type="pct"/>
            <w:vAlign w:val="center"/>
          </w:tcPr>
          <w:p w14:paraId="284A9F51" w14:textId="77777777" w:rsidR="00763CA9" w:rsidRPr="00907CE8" w:rsidRDefault="00763CA9" w:rsidP="00907C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2 (à distance)</w:t>
            </w:r>
          </w:p>
        </w:tc>
        <w:tc>
          <w:tcPr>
            <w:tcW w:w="1361" w:type="pct"/>
            <w:vAlign w:val="center"/>
          </w:tcPr>
          <w:p w14:paraId="51CE9FD2" w14:textId="5E30FC64" w:rsidR="00763CA9" w:rsidRPr="00907CE8" w:rsidRDefault="00763CA9" w:rsidP="003E28A6">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 xml:space="preserve">VF de l’ensemble des </w:t>
            </w:r>
            <w:r w:rsidR="00A25F97">
              <w:rPr>
                <w:rFonts w:ascii="Lato" w:hAnsi="Lato"/>
              </w:rPr>
              <w:t>livrables</w:t>
            </w:r>
          </w:p>
        </w:tc>
        <w:tc>
          <w:tcPr>
            <w:tcW w:w="559" w:type="pct"/>
            <w:vAlign w:val="center"/>
          </w:tcPr>
          <w:p w14:paraId="7ED61A5F" w14:textId="303E6C61" w:rsidR="00763CA9" w:rsidRPr="00907CE8" w:rsidRDefault="00907CE8" w:rsidP="00907CE8">
            <w:pPr>
              <w:cnfStyle w:val="000000100000" w:firstRow="0" w:lastRow="0" w:firstColumn="0" w:lastColumn="0" w:oddVBand="0" w:evenVBand="0" w:oddHBand="1" w:evenHBand="0" w:firstRowFirstColumn="0" w:firstRowLastColumn="0" w:lastRowFirstColumn="0" w:lastRowLastColumn="0"/>
              <w:rPr>
                <w:rFonts w:ascii="Lato" w:hAnsi="Lato"/>
              </w:rPr>
            </w:pPr>
            <w:r w:rsidRPr="00907CE8">
              <w:rPr>
                <w:rFonts w:ascii="Lato" w:hAnsi="Lato"/>
              </w:rPr>
              <w:t>50%</w:t>
            </w:r>
          </w:p>
        </w:tc>
      </w:tr>
    </w:tbl>
    <w:p w14:paraId="65E82024" w14:textId="3F5C1C42" w:rsidR="0010095B" w:rsidRPr="00337047" w:rsidRDefault="0010095B" w:rsidP="0010095B">
      <w:pPr>
        <w:spacing w:line="264" w:lineRule="auto"/>
        <w:jc w:val="both"/>
        <w:rPr>
          <w:rFonts w:ascii="Lato" w:eastAsiaTheme="minorHAnsi" w:hAnsi="Lato"/>
          <w:lang w:eastAsia="en-US"/>
        </w:rPr>
      </w:pPr>
    </w:p>
    <w:p w14:paraId="32BC9B6E" w14:textId="589E6CCD" w:rsidR="00FA1068" w:rsidRPr="00337047" w:rsidRDefault="00FA1068" w:rsidP="00FA1068">
      <w:pPr>
        <w:pStyle w:val="Titre1"/>
        <w:numPr>
          <w:ilvl w:val="0"/>
          <w:numId w:val="11"/>
        </w:numPr>
        <w:spacing w:before="100" w:beforeAutospacing="1" w:after="100" w:afterAutospacing="1" w:line="264" w:lineRule="auto"/>
        <w:ind w:left="0" w:firstLine="0"/>
        <w:rPr>
          <w:rFonts w:ascii="Futura LT Pro Book" w:eastAsia="Times New Roman" w:hAnsi="Futura LT Pro Book" w:cs="Times New Roman"/>
          <w:iCs/>
          <w:caps/>
          <w:color w:val="52AE32" w:themeColor="accent1"/>
          <w:kern w:val="36"/>
          <w:sz w:val="40"/>
          <w:szCs w:val="40"/>
          <w:lang w:eastAsia="es-ES"/>
        </w:rPr>
      </w:pPr>
      <w:r w:rsidRPr="00337047">
        <w:rPr>
          <w:rFonts w:ascii="Futura LT Pro Book" w:eastAsia="Times New Roman" w:hAnsi="Futura LT Pro Book" w:cs="Times New Roman"/>
          <w:iCs/>
          <w:caps/>
          <w:color w:val="52AE32" w:themeColor="accent1"/>
          <w:kern w:val="36"/>
          <w:sz w:val="40"/>
          <w:szCs w:val="40"/>
          <w:lang w:eastAsia="es-ES"/>
        </w:rPr>
        <w:t>LOGISTIQUE, SÉcurité et AdministratioN</w:t>
      </w:r>
    </w:p>
    <w:p w14:paraId="5D92B37D" w14:textId="7282C08C" w:rsidR="00143174" w:rsidRPr="00907CE8" w:rsidRDefault="00143174" w:rsidP="00907CE8">
      <w:pPr>
        <w:pStyle w:val="Sous-titreLatoB"/>
        <w:numPr>
          <w:ilvl w:val="1"/>
          <w:numId w:val="11"/>
        </w:numPr>
      </w:pPr>
      <w:r w:rsidRPr="00907CE8">
        <w:rPr>
          <w:lang w:val="fr-FR"/>
        </w:rPr>
        <w:t>Arrangements logistiques</w:t>
      </w:r>
    </w:p>
    <w:p w14:paraId="4C770F93" w14:textId="1C9965AA" w:rsidR="00143174" w:rsidRPr="00907CE8" w:rsidRDefault="00143174" w:rsidP="00907CE8">
      <w:pPr>
        <w:pStyle w:val="Paragraphedeliste"/>
        <w:numPr>
          <w:ilvl w:val="0"/>
          <w:numId w:val="19"/>
        </w:numPr>
        <w:ind w:left="142"/>
        <w:contextualSpacing/>
        <w:jc w:val="both"/>
        <w:rPr>
          <w:rFonts w:ascii="Lato" w:hAnsi="Lato"/>
          <w:sz w:val="22"/>
          <w:szCs w:val="22"/>
          <w:lang w:val="fr-FR"/>
        </w:rPr>
      </w:pPr>
      <w:r w:rsidRPr="00907CE8">
        <w:rPr>
          <w:rFonts w:ascii="Lato" w:hAnsi="Lato"/>
          <w:sz w:val="22"/>
          <w:szCs w:val="22"/>
          <w:lang w:val="fr-FR"/>
        </w:rPr>
        <w:t>Le</w:t>
      </w:r>
      <w:r w:rsidRPr="00337047">
        <w:rPr>
          <w:rFonts w:ascii="Lato" w:hAnsi="Lato"/>
          <w:sz w:val="22"/>
          <w:szCs w:val="22"/>
          <w:lang w:val="fr-FR"/>
        </w:rPr>
        <w:t>.la</w:t>
      </w:r>
      <w:r w:rsidRPr="00907CE8">
        <w:rPr>
          <w:rFonts w:ascii="Lato" w:hAnsi="Lato"/>
          <w:sz w:val="22"/>
          <w:szCs w:val="22"/>
          <w:lang w:val="fr-FR"/>
        </w:rPr>
        <w:t xml:space="preserve"> consultant</w:t>
      </w:r>
      <w:r w:rsidRPr="00337047">
        <w:rPr>
          <w:rFonts w:ascii="Lato" w:hAnsi="Lato"/>
          <w:sz w:val="22"/>
          <w:szCs w:val="22"/>
          <w:lang w:val="fr-FR"/>
        </w:rPr>
        <w:t>.e</w:t>
      </w:r>
      <w:r w:rsidRPr="00907CE8">
        <w:rPr>
          <w:rFonts w:ascii="Lato" w:hAnsi="Lato"/>
          <w:sz w:val="22"/>
          <w:szCs w:val="22"/>
          <w:lang w:val="fr-FR"/>
        </w:rPr>
        <w:t xml:space="preserve"> sera chargé</w:t>
      </w:r>
      <w:r w:rsidRPr="00337047">
        <w:rPr>
          <w:rFonts w:ascii="Lato" w:hAnsi="Lato"/>
          <w:sz w:val="22"/>
          <w:szCs w:val="22"/>
          <w:lang w:val="fr-FR"/>
        </w:rPr>
        <w:t>.e</w:t>
      </w:r>
      <w:r w:rsidRPr="00907CE8">
        <w:rPr>
          <w:rFonts w:ascii="Lato" w:hAnsi="Lato"/>
          <w:sz w:val="22"/>
          <w:szCs w:val="22"/>
          <w:lang w:val="fr-FR"/>
        </w:rPr>
        <w:t xml:space="preserve"> d'apporter son propre ordinateur et accessoires nécessaires </w:t>
      </w:r>
      <w:r w:rsidRPr="00337047">
        <w:rPr>
          <w:rFonts w:ascii="Lato" w:hAnsi="Lato"/>
          <w:sz w:val="22"/>
          <w:szCs w:val="22"/>
          <w:lang w:val="fr-FR"/>
        </w:rPr>
        <w:t xml:space="preserve">y référent </w:t>
      </w:r>
      <w:r w:rsidRPr="00907CE8">
        <w:rPr>
          <w:rFonts w:ascii="Lato" w:hAnsi="Lato"/>
          <w:sz w:val="22"/>
          <w:szCs w:val="22"/>
          <w:lang w:val="fr-FR"/>
        </w:rPr>
        <w:t xml:space="preserve">; </w:t>
      </w:r>
    </w:p>
    <w:p w14:paraId="43B5CBB5" w14:textId="0483CDA8" w:rsidR="00143174" w:rsidRPr="00907CE8" w:rsidRDefault="00143174" w:rsidP="00907CE8">
      <w:pPr>
        <w:pStyle w:val="Paragraphedeliste"/>
        <w:numPr>
          <w:ilvl w:val="0"/>
          <w:numId w:val="19"/>
        </w:numPr>
        <w:ind w:left="142"/>
        <w:contextualSpacing/>
        <w:jc w:val="both"/>
        <w:rPr>
          <w:rFonts w:ascii="Lato" w:hAnsi="Lato"/>
          <w:sz w:val="22"/>
          <w:szCs w:val="22"/>
          <w:lang w:val="fr-FR"/>
        </w:rPr>
      </w:pPr>
      <w:r w:rsidRPr="00907CE8">
        <w:rPr>
          <w:rFonts w:ascii="Lato" w:hAnsi="Lato"/>
          <w:sz w:val="22"/>
          <w:szCs w:val="22"/>
          <w:lang w:val="fr-FR"/>
        </w:rPr>
        <w:t>Les frais de vol internationaux et de visa sont inclus dans les honoraires du consultant, tout comme ses frais de bouche. Aucun perdiem ne sera remis en sus des honoraires par ACF. Une facilitation peut être apportée pour les procédure d’entrée sur le territoire par ACF</w:t>
      </w:r>
      <w:r w:rsidRPr="00337047">
        <w:rPr>
          <w:rFonts w:ascii="Lato" w:hAnsi="Lato"/>
          <w:sz w:val="22"/>
          <w:szCs w:val="22"/>
          <w:lang w:val="fr-FR"/>
        </w:rPr>
        <w:t> ;</w:t>
      </w:r>
    </w:p>
    <w:p w14:paraId="0480277A" w14:textId="5EF15AD6" w:rsidR="00143174" w:rsidRPr="00337047" w:rsidRDefault="00143174" w:rsidP="00907CE8">
      <w:pPr>
        <w:pStyle w:val="Paragraphedeliste"/>
        <w:numPr>
          <w:ilvl w:val="0"/>
          <w:numId w:val="19"/>
        </w:numPr>
        <w:ind w:left="142"/>
        <w:contextualSpacing/>
        <w:jc w:val="both"/>
        <w:rPr>
          <w:rFonts w:ascii="Lato" w:hAnsi="Lato"/>
          <w:sz w:val="22"/>
          <w:szCs w:val="22"/>
          <w:lang w:val="fr-FR"/>
        </w:rPr>
      </w:pPr>
      <w:r w:rsidRPr="00907CE8">
        <w:rPr>
          <w:rFonts w:ascii="Lato" w:hAnsi="Lato"/>
          <w:sz w:val="22"/>
          <w:szCs w:val="22"/>
          <w:lang w:val="fr-FR"/>
        </w:rPr>
        <w:t xml:space="preserve">ACF a la charge des coûts de transport intra RDC. Le.la consultant.e sera logé.e au sein des guest houses d’ACF et/ou à l’hôtel selon les pratiques habituelles de la mission. </w:t>
      </w:r>
    </w:p>
    <w:p w14:paraId="78E7DE31" w14:textId="1EC145D2" w:rsidR="00C3730E" w:rsidRPr="00337047" w:rsidRDefault="00974243" w:rsidP="00907CE8">
      <w:pPr>
        <w:pStyle w:val="Paragraphedeliste"/>
        <w:numPr>
          <w:ilvl w:val="0"/>
          <w:numId w:val="19"/>
        </w:numPr>
        <w:spacing w:line="264" w:lineRule="auto"/>
        <w:ind w:left="142"/>
        <w:jc w:val="both"/>
        <w:rPr>
          <w:rFonts w:ascii="Lato" w:eastAsiaTheme="minorHAnsi" w:hAnsi="Lato"/>
          <w:sz w:val="22"/>
          <w:szCs w:val="22"/>
          <w:lang w:val="fr-FR"/>
        </w:rPr>
      </w:pPr>
      <w:r w:rsidRPr="00907CE8">
        <w:rPr>
          <w:rFonts w:ascii="Lato" w:eastAsiaTheme="minorHAnsi" w:hAnsi="Lato"/>
          <w:sz w:val="22"/>
          <w:szCs w:val="22"/>
          <w:lang w:val="fr-FR"/>
        </w:rPr>
        <w:t>ACF prendra en charge les salaires/perdiem des enquêteurs locaux, leur formation, la location de véhicule à hauteur de 5000 USD (à compléter par le consultant si nécessaire).</w:t>
      </w:r>
    </w:p>
    <w:p w14:paraId="77A041EF" w14:textId="77777777" w:rsidR="00974243" w:rsidRPr="00907CE8" w:rsidRDefault="00974243" w:rsidP="00907CE8">
      <w:pPr>
        <w:spacing w:line="264" w:lineRule="auto"/>
        <w:jc w:val="both"/>
        <w:rPr>
          <w:rFonts w:ascii="Lato" w:eastAsiaTheme="minorHAnsi" w:hAnsi="Lato"/>
        </w:rPr>
      </w:pPr>
    </w:p>
    <w:p w14:paraId="7DD4E6B9" w14:textId="6672A8E3" w:rsidR="00C3730E" w:rsidRPr="00337047" w:rsidRDefault="00C3730E" w:rsidP="00C3730E">
      <w:pPr>
        <w:pStyle w:val="Sous-titreLatoB"/>
        <w:numPr>
          <w:ilvl w:val="1"/>
          <w:numId w:val="11"/>
        </w:numPr>
        <w:rPr>
          <w:lang w:val="fr-FR"/>
        </w:rPr>
      </w:pPr>
      <w:r w:rsidRPr="00337047">
        <w:rPr>
          <w:lang w:val="fr-FR"/>
        </w:rPr>
        <w:t>Arrangements administratifs</w:t>
      </w:r>
    </w:p>
    <w:p w14:paraId="13DBEEB4" w14:textId="61391F37" w:rsidR="00AD684B" w:rsidRPr="00337047" w:rsidRDefault="00D92AFE" w:rsidP="00907CE8">
      <w:pPr>
        <w:pStyle w:val="Paragraphedeliste"/>
        <w:numPr>
          <w:ilvl w:val="0"/>
          <w:numId w:val="19"/>
        </w:numPr>
        <w:ind w:left="142"/>
        <w:contextualSpacing/>
        <w:jc w:val="both"/>
        <w:rPr>
          <w:rFonts w:ascii="Lato" w:hAnsi="Lato"/>
          <w:sz w:val="22"/>
          <w:szCs w:val="22"/>
          <w:lang w:val="fr-FR"/>
        </w:rPr>
      </w:pPr>
      <w:r w:rsidRPr="00337047">
        <w:rPr>
          <w:rFonts w:ascii="Lato" w:hAnsi="Lato"/>
          <w:sz w:val="22"/>
          <w:szCs w:val="22"/>
          <w:lang w:val="fr-FR"/>
        </w:rPr>
        <w:t>Les consultants ne sont pas rémunérés durant les jours non ouvrés sauf réalisation d’une tâche spécifique après accord des deux parties (comme voyage national par exemple). Les consultants n'ont pas droit au paiement des heures supplémentaires. Toute rémunération doit être conforme à l'accord contractuel ;</w:t>
      </w:r>
    </w:p>
    <w:p w14:paraId="146BF5D5" w14:textId="4220B568" w:rsidR="00D92AFE" w:rsidRPr="00337047" w:rsidRDefault="00D92AFE" w:rsidP="00907CE8">
      <w:pPr>
        <w:pStyle w:val="Paragraphedeliste"/>
        <w:numPr>
          <w:ilvl w:val="0"/>
          <w:numId w:val="19"/>
        </w:numPr>
        <w:ind w:left="142"/>
        <w:contextualSpacing/>
        <w:jc w:val="both"/>
        <w:rPr>
          <w:rFonts w:ascii="Lato" w:hAnsi="Lato"/>
          <w:sz w:val="22"/>
          <w:szCs w:val="22"/>
          <w:lang w:val="fr-FR"/>
        </w:rPr>
      </w:pPr>
      <w:r w:rsidRPr="00337047">
        <w:rPr>
          <w:rFonts w:ascii="Lato" w:hAnsi="Lato"/>
          <w:sz w:val="22"/>
          <w:szCs w:val="22"/>
          <w:lang w:val="fr-FR"/>
        </w:rPr>
        <w:t>Aucun contrat ne peut débuter sans la signature du contrat par Action contre la Faim et le consultant ;</w:t>
      </w:r>
    </w:p>
    <w:p w14:paraId="678FB3A5" w14:textId="1B0C3E03" w:rsidR="00D92AFE" w:rsidRPr="00337047" w:rsidRDefault="00D92AFE" w:rsidP="00907CE8">
      <w:pPr>
        <w:pStyle w:val="Paragraphedeliste"/>
        <w:numPr>
          <w:ilvl w:val="0"/>
          <w:numId w:val="19"/>
        </w:numPr>
        <w:ind w:left="142"/>
        <w:contextualSpacing/>
        <w:jc w:val="both"/>
        <w:rPr>
          <w:rFonts w:ascii="Lato" w:hAnsi="Lato"/>
          <w:sz w:val="22"/>
          <w:szCs w:val="22"/>
          <w:lang w:val="fr-FR"/>
        </w:rPr>
      </w:pPr>
      <w:r w:rsidRPr="00337047">
        <w:rPr>
          <w:rFonts w:ascii="Lato" w:hAnsi="Lato"/>
          <w:sz w:val="22"/>
          <w:szCs w:val="22"/>
          <w:lang w:val="fr-FR"/>
        </w:rPr>
        <w:t>Conformément à la politique d'Action contre la Faim en matière de consultants, les paiements sont effectués en fonction des produits livrables approuvés ;</w:t>
      </w:r>
    </w:p>
    <w:p w14:paraId="7BDC1FE8" w14:textId="716D755B" w:rsidR="00D92AFE" w:rsidRPr="00907CE8" w:rsidRDefault="00D92AFE" w:rsidP="00907CE8">
      <w:pPr>
        <w:pStyle w:val="Paragraphedeliste"/>
        <w:numPr>
          <w:ilvl w:val="0"/>
          <w:numId w:val="19"/>
        </w:numPr>
        <w:ind w:left="142"/>
        <w:contextualSpacing/>
        <w:jc w:val="both"/>
        <w:rPr>
          <w:rFonts w:ascii="Lato" w:hAnsi="Lato"/>
          <w:sz w:val="22"/>
          <w:szCs w:val="22"/>
          <w:lang w:val="fr-FR"/>
        </w:rPr>
      </w:pPr>
      <w:r w:rsidRPr="00337047">
        <w:rPr>
          <w:rFonts w:ascii="Lato" w:hAnsi="Lato"/>
          <w:sz w:val="22"/>
          <w:szCs w:val="22"/>
          <w:lang w:val="fr-FR"/>
        </w:rPr>
        <w:t>Le candidat sélectionné sera régi par et soumis aux conditions générales d'Action contre la Faim pour les contrats individuels.</w:t>
      </w:r>
    </w:p>
    <w:p w14:paraId="676F6DB3" w14:textId="77777777" w:rsidR="00D92AFE" w:rsidRPr="00907CE8" w:rsidRDefault="00D92AFE" w:rsidP="00907CE8">
      <w:pPr>
        <w:pStyle w:val="Paragraphedeliste"/>
        <w:ind w:left="720"/>
        <w:contextualSpacing/>
        <w:jc w:val="both"/>
        <w:rPr>
          <w:rFonts w:ascii="Lato" w:hAnsi="Lato"/>
          <w:lang w:val="fr-FR"/>
        </w:rPr>
      </w:pPr>
    </w:p>
    <w:p w14:paraId="02A5CA8C" w14:textId="3FE7E85B" w:rsidR="00AD684B" w:rsidRPr="00337047" w:rsidRDefault="00AD684B" w:rsidP="00AD684B">
      <w:pPr>
        <w:pStyle w:val="Sous-titreLatoB"/>
        <w:numPr>
          <w:ilvl w:val="1"/>
          <w:numId w:val="11"/>
        </w:numPr>
        <w:rPr>
          <w:lang w:val="fr-FR"/>
        </w:rPr>
      </w:pPr>
      <w:r w:rsidRPr="00337047">
        <w:rPr>
          <w:lang w:val="fr-FR"/>
        </w:rPr>
        <w:t xml:space="preserve">Ressources humaines </w:t>
      </w:r>
    </w:p>
    <w:p w14:paraId="346D57AD" w14:textId="3F2B8A57" w:rsidR="00AD684B" w:rsidRPr="00907CE8" w:rsidRDefault="00D92AFE" w:rsidP="00907CE8">
      <w:pPr>
        <w:pStyle w:val="Paragraphedeliste"/>
        <w:numPr>
          <w:ilvl w:val="0"/>
          <w:numId w:val="19"/>
        </w:numPr>
        <w:ind w:left="142"/>
        <w:contextualSpacing/>
        <w:jc w:val="both"/>
        <w:rPr>
          <w:rFonts w:ascii="Lato" w:hAnsi="Lato"/>
          <w:lang w:val="fr-FR"/>
        </w:rPr>
      </w:pPr>
      <w:r w:rsidRPr="00337047">
        <w:rPr>
          <w:rFonts w:ascii="Lato" w:hAnsi="Lato"/>
          <w:sz w:val="22"/>
          <w:szCs w:val="22"/>
          <w:lang w:val="fr-FR"/>
        </w:rPr>
        <w:t>Le.la consultant.e pourra profiter du vivier des enquêteurs ACF pour réaliser l’enquête. Il.elle sera en charge de les former aux objectifs de l’enquête et l’utilisation des outils de collecte</w:t>
      </w:r>
      <w:r w:rsidR="00974243" w:rsidRPr="00337047">
        <w:rPr>
          <w:rFonts w:ascii="Lato" w:hAnsi="Lato"/>
          <w:sz w:val="22"/>
          <w:szCs w:val="22"/>
          <w:lang w:val="fr-FR"/>
        </w:rPr>
        <w:t> ;</w:t>
      </w:r>
    </w:p>
    <w:p w14:paraId="0F4078BB" w14:textId="26C1D9D7" w:rsidR="00D92AFE" w:rsidRPr="00907CE8" w:rsidRDefault="00D92AFE" w:rsidP="00907CE8">
      <w:pPr>
        <w:pStyle w:val="Paragraphedeliste"/>
        <w:numPr>
          <w:ilvl w:val="0"/>
          <w:numId w:val="19"/>
        </w:numPr>
        <w:ind w:left="142"/>
        <w:contextualSpacing/>
        <w:jc w:val="both"/>
        <w:rPr>
          <w:rFonts w:ascii="Lato" w:hAnsi="Lato"/>
          <w:sz w:val="22"/>
          <w:szCs w:val="22"/>
          <w:lang w:val="fr-FR"/>
        </w:rPr>
      </w:pPr>
      <w:r w:rsidRPr="00907CE8">
        <w:rPr>
          <w:rFonts w:ascii="Lato" w:hAnsi="Lato"/>
          <w:sz w:val="22"/>
          <w:szCs w:val="22"/>
          <w:lang w:val="fr-FR"/>
        </w:rPr>
        <w:t xml:space="preserve">Le.la consultant.e travaillera de manière rapprochée avec la Coordinatrice Terrain Ituri pour la préparation des TdR pour les aspects pratiques et lui reportera directement lorsqu’en Ituri, </w:t>
      </w:r>
      <w:r w:rsidRPr="00907CE8">
        <w:rPr>
          <w:rFonts w:ascii="Lato" w:hAnsi="Lato"/>
          <w:sz w:val="22"/>
          <w:szCs w:val="22"/>
          <w:lang w:val="fr-FR"/>
        </w:rPr>
        <w:lastRenderedPageBreak/>
        <w:t>en matière de gestion de temps, déplacements.</w:t>
      </w:r>
      <w:r w:rsidR="00974243" w:rsidRPr="00337047">
        <w:rPr>
          <w:rFonts w:ascii="Lato" w:hAnsi="Lato"/>
          <w:sz w:val="22"/>
          <w:szCs w:val="22"/>
          <w:lang w:val="fr-FR"/>
        </w:rPr>
        <w:t xml:space="preserve"> </w:t>
      </w:r>
      <w:r w:rsidRPr="00907CE8">
        <w:rPr>
          <w:rFonts w:ascii="Lato" w:hAnsi="Lato"/>
          <w:sz w:val="22"/>
          <w:szCs w:val="22"/>
          <w:lang w:val="fr-FR"/>
        </w:rPr>
        <w:t>Le.la consultant.e travaillera de manière rapprochée avec le Responsable de Département MEAL pour les aspects méthodologiques et de formation des équipes.</w:t>
      </w:r>
    </w:p>
    <w:p w14:paraId="11CBE112" w14:textId="77777777" w:rsidR="006746AC" w:rsidRPr="00907CE8" w:rsidRDefault="006746AC" w:rsidP="00907CE8">
      <w:pPr>
        <w:ind w:left="360"/>
        <w:contextualSpacing/>
        <w:jc w:val="both"/>
        <w:rPr>
          <w:rFonts w:ascii="Lato" w:hAnsi="Lato"/>
        </w:rPr>
      </w:pPr>
    </w:p>
    <w:p w14:paraId="5577C81C" w14:textId="7F5B3AE6" w:rsidR="00974243" w:rsidRPr="00337047" w:rsidRDefault="00AD684B" w:rsidP="00907CE8">
      <w:pPr>
        <w:pStyle w:val="Sous-titreLatoB"/>
        <w:numPr>
          <w:ilvl w:val="1"/>
          <w:numId w:val="11"/>
        </w:numPr>
        <w:rPr>
          <w:lang w:val="fr-FR"/>
        </w:rPr>
      </w:pPr>
      <w:r w:rsidRPr="00337047">
        <w:rPr>
          <w:lang w:val="fr-FR"/>
        </w:rPr>
        <w:t xml:space="preserve">Sécurité </w:t>
      </w:r>
    </w:p>
    <w:p w14:paraId="20FD88F0" w14:textId="25ACB234" w:rsidR="00974243" w:rsidRPr="00337047" w:rsidRDefault="00974243" w:rsidP="00907CE8">
      <w:pPr>
        <w:pStyle w:val="Paragraphedeliste"/>
        <w:numPr>
          <w:ilvl w:val="0"/>
          <w:numId w:val="19"/>
        </w:numPr>
        <w:ind w:left="142"/>
        <w:contextualSpacing/>
        <w:jc w:val="both"/>
        <w:rPr>
          <w:rFonts w:ascii="Lato" w:hAnsi="Lato"/>
          <w:sz w:val="22"/>
          <w:szCs w:val="22"/>
          <w:lang w:val="fr-FR"/>
        </w:rPr>
      </w:pPr>
      <w:r w:rsidRPr="00337047">
        <w:rPr>
          <w:rFonts w:ascii="Lato" w:hAnsi="Lato"/>
          <w:sz w:val="22"/>
          <w:szCs w:val="22"/>
          <w:lang w:val="fr-FR"/>
        </w:rPr>
        <w:t xml:space="preserve">Un briefing sécurité sera réalisé à l’arrivée. </w:t>
      </w:r>
      <w:r w:rsidR="00D92AFE" w:rsidRPr="00337047">
        <w:rPr>
          <w:rFonts w:ascii="Lato" w:hAnsi="Lato"/>
          <w:sz w:val="22"/>
          <w:szCs w:val="22"/>
          <w:lang w:val="fr-FR"/>
        </w:rPr>
        <w:t xml:space="preserve">Une enveloppe de sécurité ainsi qu’un téléphone portable seront </w:t>
      </w:r>
      <w:r w:rsidRPr="00337047">
        <w:rPr>
          <w:rFonts w:ascii="Lato" w:hAnsi="Lato"/>
          <w:sz w:val="22"/>
          <w:szCs w:val="22"/>
          <w:lang w:val="fr-FR"/>
        </w:rPr>
        <w:t>aussi</w:t>
      </w:r>
      <w:r w:rsidR="00D92AFE" w:rsidRPr="00337047">
        <w:rPr>
          <w:rFonts w:ascii="Lato" w:hAnsi="Lato"/>
          <w:sz w:val="22"/>
          <w:szCs w:val="22"/>
          <w:lang w:val="fr-FR"/>
        </w:rPr>
        <w:t>, qui devront être retournés avant le départ de la mission. ACF sera garant de la sécurité du ou de la consultant.e, celui-ci/celle-ci devant s’engager à respecter l’intégralité des règles lui étant communiquées ;</w:t>
      </w:r>
    </w:p>
    <w:p w14:paraId="07386743" w14:textId="0D26717F" w:rsidR="00C3730E" w:rsidRPr="00907CE8" w:rsidRDefault="00974243" w:rsidP="00907CE8">
      <w:pPr>
        <w:pStyle w:val="PUAMItexte"/>
        <w:numPr>
          <w:ilvl w:val="0"/>
          <w:numId w:val="19"/>
        </w:numPr>
        <w:spacing w:line="276" w:lineRule="auto"/>
        <w:ind w:left="142"/>
        <w:jc w:val="left"/>
      </w:pPr>
      <w:r w:rsidRPr="00907CE8">
        <w:rPr>
          <w:sz w:val="22"/>
        </w:rPr>
        <w:t>Le.la consultant.e sera en charge de sa protection sociale durant sa mission.</w:t>
      </w:r>
    </w:p>
    <w:p w14:paraId="0C51E184" w14:textId="42630DCF" w:rsidR="00FA1068" w:rsidRPr="00337047" w:rsidRDefault="00FA1068" w:rsidP="00907CE8">
      <w:pPr>
        <w:pStyle w:val="Titre1"/>
        <w:numPr>
          <w:ilvl w:val="0"/>
          <w:numId w:val="11"/>
        </w:numPr>
        <w:spacing w:before="100" w:beforeAutospacing="1" w:after="100" w:afterAutospacing="1" w:line="264" w:lineRule="auto"/>
        <w:ind w:left="0" w:firstLine="0"/>
        <w:rPr>
          <w:rFonts w:ascii="Futura LT Pro Book" w:eastAsia="Times New Roman" w:hAnsi="Futura LT Pro Book" w:cs="Times New Roman"/>
          <w:iCs/>
          <w:caps/>
          <w:color w:val="52AE32" w:themeColor="accent1"/>
          <w:kern w:val="36"/>
          <w:sz w:val="40"/>
          <w:szCs w:val="40"/>
          <w:lang w:eastAsia="es-ES"/>
        </w:rPr>
      </w:pPr>
      <w:r w:rsidRPr="00337047">
        <w:rPr>
          <w:rFonts w:ascii="Futura LT Pro Book" w:eastAsia="Times New Roman" w:hAnsi="Futura LT Pro Book" w:cs="Times New Roman"/>
          <w:iCs/>
          <w:caps/>
          <w:color w:val="52AE32" w:themeColor="accent1"/>
          <w:kern w:val="36"/>
          <w:sz w:val="40"/>
          <w:szCs w:val="40"/>
          <w:lang w:eastAsia="es-ES"/>
        </w:rPr>
        <w:t>QUALIFICATIONs attendues</w:t>
      </w:r>
    </w:p>
    <w:p w14:paraId="481DF5E1" w14:textId="28D3214D"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Diplôme de haut niveau, de préférence avec un diplôme de troisième cycle en sciences sociales, développement international, droits de l'homme, santé publique</w:t>
      </w:r>
      <w:r w:rsidR="0006206C" w:rsidRPr="00337047">
        <w:rPr>
          <w:rFonts w:ascii="Lato" w:hAnsi="Lato"/>
          <w:sz w:val="22"/>
          <w:szCs w:val="22"/>
          <w:lang w:val="fr-FR"/>
        </w:rPr>
        <w:t>, agronomie, EHA</w:t>
      </w:r>
      <w:r w:rsidRPr="00907CE8">
        <w:rPr>
          <w:rFonts w:ascii="Lato" w:hAnsi="Lato"/>
          <w:sz w:val="22"/>
          <w:szCs w:val="22"/>
          <w:lang w:val="fr-FR"/>
        </w:rPr>
        <w:t xml:space="preserve"> ou domaine connexe ;</w:t>
      </w:r>
    </w:p>
    <w:p w14:paraId="7FC02614" w14:textId="7C502BC6" w:rsidR="00AA0B06" w:rsidRPr="00337047"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 xml:space="preserve">Minimum 5 ans d'expérience </w:t>
      </w:r>
      <w:r w:rsidR="00AA0B06" w:rsidRPr="00907CE8">
        <w:rPr>
          <w:rFonts w:ascii="Lato" w:hAnsi="Lato"/>
          <w:sz w:val="22"/>
          <w:lang w:val="fr-FR"/>
        </w:rPr>
        <w:t>avérée dans la réalisation d'enquêtes, d'analyses et de rapports sur</w:t>
      </w:r>
      <w:r w:rsidR="00AA0B06" w:rsidRPr="00337047">
        <w:rPr>
          <w:rFonts w:ascii="Lato" w:hAnsi="Lato"/>
          <w:sz w:val="22"/>
          <w:lang w:val="fr-FR"/>
        </w:rPr>
        <w:t xml:space="preserve"> des questions de communication et de changement de comportement ;  </w:t>
      </w:r>
    </w:p>
    <w:p w14:paraId="6EC314DF" w14:textId="0FBDCCCC" w:rsidR="00974243" w:rsidRPr="00907CE8" w:rsidRDefault="0006206C" w:rsidP="00907CE8">
      <w:pPr>
        <w:pStyle w:val="Paragraphedeliste"/>
        <w:numPr>
          <w:ilvl w:val="0"/>
          <w:numId w:val="22"/>
        </w:numPr>
        <w:ind w:left="142"/>
        <w:contextualSpacing/>
        <w:jc w:val="both"/>
        <w:rPr>
          <w:rFonts w:ascii="Lato" w:hAnsi="Lato"/>
          <w:sz w:val="22"/>
          <w:szCs w:val="22"/>
          <w:lang w:val="fr-FR"/>
        </w:rPr>
      </w:pPr>
      <w:r w:rsidRPr="00337047">
        <w:rPr>
          <w:rFonts w:ascii="Lato" w:hAnsi="Lato"/>
          <w:sz w:val="22"/>
          <w:szCs w:val="22"/>
          <w:lang w:val="fr-FR"/>
        </w:rPr>
        <w:t>Expérience</w:t>
      </w:r>
      <w:r w:rsidR="00974243" w:rsidRPr="00907CE8">
        <w:rPr>
          <w:rFonts w:ascii="Lato" w:hAnsi="Lato"/>
          <w:sz w:val="22"/>
          <w:szCs w:val="22"/>
          <w:lang w:val="fr-FR"/>
        </w:rPr>
        <w:t xml:space="preserve"> en protection et inclusion des groupes vulnérables ;</w:t>
      </w:r>
    </w:p>
    <w:p w14:paraId="473B88BB" w14:textId="2FC91D7E"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 xml:space="preserve">Une expérience importante dans le développement et l'utilisation d'outils et de méthodologies d'analyse de </w:t>
      </w:r>
      <w:r w:rsidR="00AA0B06" w:rsidRPr="00337047">
        <w:rPr>
          <w:rFonts w:ascii="Lato" w:hAnsi="Lato"/>
          <w:sz w:val="22"/>
          <w:szCs w:val="22"/>
          <w:lang w:val="fr-FR"/>
        </w:rPr>
        <w:t>changement de comportement ;</w:t>
      </w:r>
    </w:p>
    <w:p w14:paraId="51F94932" w14:textId="2A644C33"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Expérience d</w:t>
      </w:r>
      <w:r w:rsidR="0006206C" w:rsidRPr="00337047">
        <w:rPr>
          <w:rFonts w:ascii="Lato" w:hAnsi="Lato"/>
          <w:sz w:val="22"/>
          <w:szCs w:val="22"/>
          <w:lang w:val="fr-FR"/>
        </w:rPr>
        <w:t>ans</w:t>
      </w:r>
      <w:r w:rsidRPr="00907CE8">
        <w:rPr>
          <w:rFonts w:ascii="Lato" w:hAnsi="Lato"/>
          <w:sz w:val="22"/>
          <w:szCs w:val="22"/>
          <w:lang w:val="fr-FR"/>
        </w:rPr>
        <w:t xml:space="preserve"> la gestion de projets ;</w:t>
      </w:r>
    </w:p>
    <w:p w14:paraId="6379E624" w14:textId="77777777"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Excellentes compétences en matière de communication, tant écrite qu'orale ;</w:t>
      </w:r>
    </w:p>
    <w:p w14:paraId="567EF142" w14:textId="637E1EE8"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Bonnes compétences en matière d'animation</w:t>
      </w:r>
      <w:r w:rsidR="0006206C" w:rsidRPr="00337047">
        <w:rPr>
          <w:rFonts w:ascii="Lato" w:hAnsi="Lato"/>
          <w:sz w:val="22"/>
          <w:szCs w:val="22"/>
          <w:lang w:val="fr-FR"/>
        </w:rPr>
        <w:t> ;</w:t>
      </w:r>
    </w:p>
    <w:p w14:paraId="42688D5B" w14:textId="17FB0D48"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Solides compétences en matière d'analyse et de recherche, y compris la capacité de traiter de grandes quantités d'informations, d'en extraire une analyse critique et de les diffuser de manière appropriée</w:t>
      </w:r>
      <w:r w:rsidR="0006206C" w:rsidRPr="00337047">
        <w:rPr>
          <w:rFonts w:ascii="Lato" w:hAnsi="Lato"/>
          <w:sz w:val="22"/>
          <w:szCs w:val="22"/>
          <w:lang w:val="fr-FR"/>
        </w:rPr>
        <w:t> ;</w:t>
      </w:r>
    </w:p>
    <w:p w14:paraId="4003C688" w14:textId="2D937087"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Expérience en matière d'analyse de données qualitatives, avec un délai d'utilisation rapide</w:t>
      </w:r>
      <w:r w:rsidR="0006206C" w:rsidRPr="00337047">
        <w:rPr>
          <w:rFonts w:ascii="Lato" w:hAnsi="Lato"/>
          <w:sz w:val="22"/>
          <w:szCs w:val="22"/>
          <w:lang w:val="fr-FR"/>
        </w:rPr>
        <w:t> ;</w:t>
      </w:r>
    </w:p>
    <w:p w14:paraId="6BE42D84" w14:textId="1465A9B0"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Familiarité avec les systèmes de collecte de données numériques</w:t>
      </w:r>
      <w:r w:rsidR="0006206C" w:rsidRPr="00337047">
        <w:rPr>
          <w:rFonts w:ascii="Lato" w:hAnsi="Lato"/>
          <w:sz w:val="22"/>
          <w:szCs w:val="22"/>
          <w:lang w:val="fr-FR"/>
        </w:rPr>
        <w:t> ;</w:t>
      </w:r>
    </w:p>
    <w:p w14:paraId="2BB30030" w14:textId="5783BFE3"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Expérience et capacité à travailler dans des conditions difficiles et des environnements peu sûrs</w:t>
      </w:r>
      <w:r w:rsidR="0006206C" w:rsidRPr="00337047">
        <w:rPr>
          <w:rFonts w:ascii="Lato" w:hAnsi="Lato"/>
          <w:sz w:val="22"/>
          <w:szCs w:val="22"/>
          <w:lang w:val="fr-FR"/>
        </w:rPr>
        <w:t> ;</w:t>
      </w:r>
    </w:p>
    <w:p w14:paraId="0D1B062F" w14:textId="150EAACA"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Une expérience dans les zones touchées par un conflit est un atout</w:t>
      </w:r>
      <w:r w:rsidR="0006206C" w:rsidRPr="00337047">
        <w:rPr>
          <w:rFonts w:ascii="Lato" w:hAnsi="Lato"/>
          <w:sz w:val="22"/>
          <w:szCs w:val="22"/>
          <w:lang w:val="fr-FR"/>
        </w:rPr>
        <w:t> ;</w:t>
      </w:r>
    </w:p>
    <w:p w14:paraId="60C8FD42" w14:textId="48374367"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Capable de travailler de manière indépendante</w:t>
      </w:r>
      <w:r w:rsidR="0006206C" w:rsidRPr="00337047">
        <w:rPr>
          <w:rFonts w:ascii="Lato" w:hAnsi="Lato"/>
          <w:sz w:val="22"/>
          <w:szCs w:val="22"/>
          <w:lang w:val="fr-FR"/>
        </w:rPr>
        <w:t> ;</w:t>
      </w:r>
    </w:p>
    <w:p w14:paraId="19A8B20F" w14:textId="65AB3ED4"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Maturité, sensibilité culturelle, tact, diplomatie, compétences interpersonnelles et capacité à bien travailler sous pression dans un environnement exigeant et des délais serrés</w:t>
      </w:r>
      <w:r w:rsidR="0006206C" w:rsidRPr="00337047">
        <w:rPr>
          <w:rFonts w:ascii="Lato" w:hAnsi="Lato"/>
          <w:sz w:val="22"/>
          <w:szCs w:val="22"/>
          <w:lang w:val="fr-FR"/>
        </w:rPr>
        <w:t> ;</w:t>
      </w:r>
    </w:p>
    <w:p w14:paraId="77C39E32" w14:textId="62279C35"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Compétences informatiques (la connaissance de Microsoft Office et d'Outlook est un prérequis)</w:t>
      </w:r>
      <w:r w:rsidR="0006206C" w:rsidRPr="00337047">
        <w:rPr>
          <w:rFonts w:ascii="Lato" w:hAnsi="Lato"/>
          <w:sz w:val="22"/>
          <w:szCs w:val="22"/>
          <w:lang w:val="fr-FR"/>
        </w:rPr>
        <w:t> ;</w:t>
      </w:r>
    </w:p>
    <w:p w14:paraId="2698DF93" w14:textId="139BDD13"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Maîtrise parfaite du français écrit et parlé</w:t>
      </w:r>
      <w:r w:rsidR="0006206C" w:rsidRPr="00337047">
        <w:rPr>
          <w:rFonts w:ascii="Lato" w:hAnsi="Lato"/>
          <w:sz w:val="22"/>
          <w:szCs w:val="22"/>
          <w:lang w:val="fr-FR"/>
        </w:rPr>
        <w:t> ;</w:t>
      </w:r>
    </w:p>
    <w:p w14:paraId="51C5C42C" w14:textId="77777777" w:rsidR="00974243" w:rsidRPr="00907CE8" w:rsidRDefault="00974243" w:rsidP="00907CE8">
      <w:pPr>
        <w:pStyle w:val="Paragraphedeliste"/>
        <w:numPr>
          <w:ilvl w:val="0"/>
          <w:numId w:val="22"/>
        </w:numPr>
        <w:ind w:left="142"/>
        <w:contextualSpacing/>
        <w:jc w:val="both"/>
        <w:rPr>
          <w:rFonts w:ascii="Lato" w:hAnsi="Lato"/>
          <w:sz w:val="22"/>
          <w:szCs w:val="22"/>
          <w:lang w:val="fr-FR"/>
        </w:rPr>
      </w:pPr>
      <w:r w:rsidRPr="00907CE8">
        <w:rPr>
          <w:rFonts w:ascii="Lato" w:hAnsi="Lato"/>
          <w:sz w:val="22"/>
          <w:szCs w:val="22"/>
          <w:lang w:val="fr-FR"/>
        </w:rPr>
        <w:t xml:space="preserve">Une expérience préalable en RDC, ainsi que des compétences linguistiques dans la langue locale sont une valeur ajoutée.  </w:t>
      </w:r>
    </w:p>
    <w:p w14:paraId="639B1111" w14:textId="77777777" w:rsidR="00974243" w:rsidRPr="00337047" w:rsidRDefault="00974243" w:rsidP="0010095B">
      <w:pPr>
        <w:spacing w:line="264" w:lineRule="auto"/>
        <w:jc w:val="both"/>
        <w:rPr>
          <w:rFonts w:ascii="Lato" w:eastAsiaTheme="minorHAnsi" w:hAnsi="Lato"/>
          <w:lang w:eastAsia="en-US"/>
        </w:rPr>
      </w:pPr>
    </w:p>
    <w:p w14:paraId="7ECD758B" w14:textId="2A330BF0" w:rsidR="0010095B" w:rsidRPr="00337047" w:rsidRDefault="0010095B" w:rsidP="00907CE8">
      <w:pPr>
        <w:pStyle w:val="Titre1"/>
        <w:numPr>
          <w:ilvl w:val="0"/>
          <w:numId w:val="11"/>
        </w:numPr>
        <w:spacing w:before="100" w:beforeAutospacing="1" w:after="100" w:afterAutospacing="1" w:line="264" w:lineRule="auto"/>
        <w:ind w:left="0" w:firstLine="0"/>
        <w:rPr>
          <w:rFonts w:ascii="Futura LT Pro Book" w:eastAsia="Times New Roman" w:hAnsi="Futura LT Pro Book" w:cs="Times New Roman"/>
          <w:iCs/>
          <w:caps/>
          <w:color w:val="52AE32" w:themeColor="accent1"/>
          <w:kern w:val="36"/>
          <w:sz w:val="40"/>
          <w:szCs w:val="40"/>
          <w:lang w:eastAsia="es-ES"/>
        </w:rPr>
      </w:pPr>
      <w:r w:rsidRPr="00337047">
        <w:rPr>
          <w:rFonts w:ascii="Futura LT Pro Book" w:eastAsia="Times New Roman" w:hAnsi="Futura LT Pro Book" w:cs="Times New Roman"/>
          <w:iCs/>
          <w:caps/>
          <w:color w:val="52AE32" w:themeColor="accent1"/>
          <w:kern w:val="36"/>
          <w:sz w:val="40"/>
          <w:szCs w:val="40"/>
          <w:lang w:eastAsia="es-ES"/>
        </w:rPr>
        <w:t>PROCEDURE DE SOUMISSION D’UNE OFFRE</w:t>
      </w:r>
    </w:p>
    <w:p w14:paraId="37283384" w14:textId="0F24AE66" w:rsidR="00962E46" w:rsidRDefault="00AA0B06" w:rsidP="00AA0B06">
      <w:pPr>
        <w:pStyle w:val="PUAMItexte"/>
        <w:spacing w:line="276" w:lineRule="auto"/>
        <w:rPr>
          <w:rFonts w:ascii="Lato" w:hAnsi="Lato"/>
          <w:sz w:val="22"/>
          <w:szCs w:val="22"/>
        </w:rPr>
      </w:pPr>
      <w:r w:rsidRPr="00907CE8">
        <w:rPr>
          <w:rFonts w:ascii="Lato" w:hAnsi="Lato"/>
          <w:sz w:val="22"/>
          <w:szCs w:val="22"/>
        </w:rPr>
        <w:t xml:space="preserve">Les candidat.e.s au présent appel à consultance sont prié.e.s de soumettre leurs candidatures </w:t>
      </w:r>
      <w:r w:rsidR="00DD07D7">
        <w:rPr>
          <w:rFonts w:ascii="Lato" w:hAnsi="Lato"/>
          <w:sz w:val="22"/>
          <w:szCs w:val="22"/>
        </w:rPr>
        <w:t xml:space="preserve">portant </w:t>
      </w:r>
      <w:r w:rsidR="00962E46">
        <w:rPr>
          <w:rFonts w:ascii="Lato" w:hAnsi="Lato"/>
          <w:sz w:val="22"/>
          <w:szCs w:val="22"/>
        </w:rPr>
        <w:t>la référence </w:t>
      </w:r>
      <w:r w:rsidR="00962E46" w:rsidRPr="00962E46">
        <w:rPr>
          <w:rFonts w:ascii="Lato" w:hAnsi="Lato"/>
          <w:b/>
          <w:sz w:val="22"/>
          <w:szCs w:val="22"/>
        </w:rPr>
        <w:t>:</w:t>
      </w:r>
      <w:r w:rsidR="00DD07D7">
        <w:rPr>
          <w:rFonts w:ascii="Lato" w:hAnsi="Lato"/>
          <w:b/>
          <w:sz w:val="22"/>
          <w:szCs w:val="22"/>
        </w:rPr>
        <w:t> « </w:t>
      </w:r>
      <w:r w:rsidR="00962E46" w:rsidRPr="00962E46">
        <w:rPr>
          <w:rFonts w:ascii="Lato" w:hAnsi="Lato"/>
          <w:b/>
          <w:sz w:val="22"/>
          <w:szCs w:val="22"/>
        </w:rPr>
        <w:t xml:space="preserve"> CD</w:t>
      </w:r>
      <w:r w:rsidR="00DD07D7">
        <w:rPr>
          <w:rFonts w:ascii="Lato" w:hAnsi="Lato"/>
          <w:b/>
          <w:sz w:val="22"/>
          <w:szCs w:val="22"/>
        </w:rPr>
        <w:t>_</w:t>
      </w:r>
      <w:r w:rsidR="00962E46" w:rsidRPr="00962E46">
        <w:rPr>
          <w:rFonts w:ascii="Lato" w:hAnsi="Lato"/>
          <w:b/>
          <w:sz w:val="22"/>
          <w:szCs w:val="22"/>
        </w:rPr>
        <w:t>KSS</w:t>
      </w:r>
      <w:r w:rsidR="00DD07D7">
        <w:rPr>
          <w:rFonts w:ascii="Lato" w:hAnsi="Lato"/>
          <w:b/>
          <w:sz w:val="22"/>
          <w:szCs w:val="22"/>
        </w:rPr>
        <w:t>_</w:t>
      </w:r>
      <w:r w:rsidR="00962E46" w:rsidRPr="00962E46">
        <w:rPr>
          <w:rFonts w:ascii="Lato" w:hAnsi="Lato"/>
          <w:b/>
          <w:sz w:val="22"/>
          <w:szCs w:val="22"/>
        </w:rPr>
        <w:t>CONSULT</w:t>
      </w:r>
      <w:r w:rsidR="00DD07D7">
        <w:rPr>
          <w:rFonts w:ascii="Lato" w:hAnsi="Lato"/>
          <w:b/>
          <w:sz w:val="22"/>
          <w:szCs w:val="22"/>
        </w:rPr>
        <w:t>_</w:t>
      </w:r>
      <w:r w:rsidR="00962E46" w:rsidRPr="00962E46">
        <w:rPr>
          <w:rFonts w:ascii="Lato" w:hAnsi="Lato"/>
          <w:b/>
          <w:sz w:val="22"/>
          <w:szCs w:val="22"/>
        </w:rPr>
        <w:t>001</w:t>
      </w:r>
      <w:r w:rsidR="00DD07D7">
        <w:rPr>
          <w:rFonts w:ascii="Lato" w:hAnsi="Lato"/>
          <w:sz w:val="22"/>
          <w:szCs w:val="22"/>
        </w:rPr>
        <w:t>»</w:t>
      </w:r>
      <w:r w:rsidR="00962E46">
        <w:rPr>
          <w:rFonts w:ascii="Lato" w:hAnsi="Lato"/>
          <w:sz w:val="22"/>
          <w:szCs w:val="22"/>
        </w:rPr>
        <w:t xml:space="preserve"> </w:t>
      </w:r>
      <w:r w:rsidR="00DD07D7">
        <w:rPr>
          <w:rFonts w:ascii="Lato" w:hAnsi="Lato"/>
          <w:sz w:val="22"/>
          <w:szCs w:val="22"/>
        </w:rPr>
        <w:t>aux adresses suivante</w:t>
      </w:r>
      <w:r w:rsidRPr="00907CE8">
        <w:rPr>
          <w:rFonts w:ascii="Lato" w:hAnsi="Lato"/>
          <w:sz w:val="22"/>
          <w:szCs w:val="22"/>
        </w:rPr>
        <w:t xml:space="preserve"> </w:t>
      </w:r>
    </w:p>
    <w:p w14:paraId="0E970FB3" w14:textId="32EDF513" w:rsidR="00AA0B06" w:rsidRPr="00907CE8" w:rsidRDefault="00DF5A90" w:rsidP="00AA0B06">
      <w:pPr>
        <w:pStyle w:val="PUAMItexte"/>
        <w:spacing w:line="276" w:lineRule="auto"/>
        <w:rPr>
          <w:rFonts w:ascii="Lato" w:hAnsi="Lato"/>
          <w:sz w:val="22"/>
          <w:szCs w:val="22"/>
        </w:rPr>
      </w:pPr>
      <w:hyperlink r:id="rId13" w:history="1">
        <w:r w:rsidR="00E96E22" w:rsidRPr="00F360A9">
          <w:rPr>
            <w:rStyle w:val="Lienhypertexte"/>
            <w:rFonts w:ascii="Lato" w:hAnsi="Lato"/>
            <w:sz w:val="22"/>
            <w:szCs w:val="22"/>
          </w:rPr>
          <w:t>respappro@cd-actioncontrelafaim.org</w:t>
        </w:r>
      </w:hyperlink>
      <w:r w:rsidR="00E96E22">
        <w:rPr>
          <w:rFonts w:ascii="Lato" w:hAnsi="Lato"/>
          <w:sz w:val="22"/>
          <w:szCs w:val="22"/>
        </w:rPr>
        <w:t xml:space="preserve"> /</w:t>
      </w:r>
      <w:hyperlink r:id="rId14" w:history="1">
        <w:r w:rsidR="00AA0B06" w:rsidRPr="00907CE8">
          <w:rPr>
            <w:rStyle w:val="Lienhypertexte"/>
            <w:rFonts w:ascii="Lato" w:eastAsiaTheme="majorEastAsia" w:hAnsi="Lato"/>
            <w:sz w:val="22"/>
            <w:szCs w:val="22"/>
          </w:rPr>
          <w:t>rddlog@cd-actioncontrelafaim.org</w:t>
        </w:r>
      </w:hyperlink>
      <w:r w:rsidR="00AA0B06" w:rsidRPr="00907CE8">
        <w:rPr>
          <w:rFonts w:ascii="Lato" w:hAnsi="Lato"/>
          <w:sz w:val="22"/>
          <w:szCs w:val="22"/>
        </w:rPr>
        <w:t xml:space="preserve"> au plus tard </w:t>
      </w:r>
      <w:r w:rsidR="000F66A3">
        <w:rPr>
          <w:rFonts w:ascii="Lato" w:hAnsi="Lato"/>
          <w:sz w:val="22"/>
          <w:szCs w:val="22"/>
        </w:rPr>
        <w:t>18</w:t>
      </w:r>
      <w:r w:rsidR="00907CE8">
        <w:rPr>
          <w:rFonts w:ascii="Lato" w:hAnsi="Lato"/>
          <w:sz w:val="22"/>
          <w:szCs w:val="22"/>
        </w:rPr>
        <w:t>/12/20</w:t>
      </w:r>
      <w:r w:rsidR="00AA0B06" w:rsidRPr="00907CE8">
        <w:rPr>
          <w:rFonts w:ascii="Lato" w:hAnsi="Lato"/>
          <w:sz w:val="22"/>
          <w:szCs w:val="22"/>
        </w:rPr>
        <w:t>, comportant :</w:t>
      </w:r>
    </w:p>
    <w:p w14:paraId="5441F89A" w14:textId="77777777" w:rsidR="00AA0B06" w:rsidRPr="00907CE8" w:rsidRDefault="00AA0B06" w:rsidP="00AA0B06">
      <w:pPr>
        <w:pStyle w:val="PUAMItexte"/>
        <w:numPr>
          <w:ilvl w:val="0"/>
          <w:numId w:val="23"/>
        </w:numPr>
        <w:spacing w:line="276" w:lineRule="auto"/>
        <w:ind w:left="142"/>
        <w:rPr>
          <w:rFonts w:ascii="Lato" w:hAnsi="Lato"/>
          <w:sz w:val="22"/>
          <w:szCs w:val="22"/>
        </w:rPr>
      </w:pPr>
      <w:r w:rsidRPr="00907CE8">
        <w:rPr>
          <w:rFonts w:ascii="Lato" w:hAnsi="Lato"/>
          <w:sz w:val="22"/>
          <w:szCs w:val="22"/>
        </w:rPr>
        <w:lastRenderedPageBreak/>
        <w:t xml:space="preserve">Une lettre de motivation mentionnant les dates de disponibilité ; </w:t>
      </w:r>
    </w:p>
    <w:p w14:paraId="01EB1D17" w14:textId="77777777" w:rsidR="00AA0B06" w:rsidRPr="00907CE8" w:rsidRDefault="00AA0B06" w:rsidP="00AA0B06">
      <w:pPr>
        <w:pStyle w:val="PUAMItexte"/>
        <w:numPr>
          <w:ilvl w:val="0"/>
          <w:numId w:val="23"/>
        </w:numPr>
        <w:spacing w:line="276" w:lineRule="auto"/>
        <w:ind w:left="142"/>
        <w:rPr>
          <w:rFonts w:ascii="Lato" w:hAnsi="Lato"/>
          <w:sz w:val="22"/>
          <w:szCs w:val="22"/>
        </w:rPr>
      </w:pPr>
      <w:r w:rsidRPr="00907CE8">
        <w:rPr>
          <w:rFonts w:ascii="Lato" w:hAnsi="Lato"/>
          <w:sz w:val="22"/>
          <w:szCs w:val="22"/>
        </w:rPr>
        <w:t xml:space="preserve">Un curriculum vitae ; </w:t>
      </w:r>
    </w:p>
    <w:p w14:paraId="33C7B979" w14:textId="5D2DBB93" w:rsidR="00AA0B06" w:rsidRPr="00907CE8" w:rsidRDefault="00AA0B06" w:rsidP="00AA0B06">
      <w:pPr>
        <w:pStyle w:val="PUAMItexte"/>
        <w:numPr>
          <w:ilvl w:val="0"/>
          <w:numId w:val="23"/>
        </w:numPr>
        <w:spacing w:line="276" w:lineRule="auto"/>
        <w:ind w:left="142"/>
        <w:rPr>
          <w:rFonts w:ascii="Lato" w:hAnsi="Lato"/>
          <w:sz w:val="22"/>
          <w:szCs w:val="22"/>
        </w:rPr>
      </w:pPr>
      <w:r w:rsidRPr="00337047">
        <w:rPr>
          <w:rFonts w:ascii="Lato" w:hAnsi="Lato"/>
          <w:sz w:val="22"/>
          <w:szCs w:val="22"/>
        </w:rPr>
        <w:t>Trois</w:t>
      </w:r>
      <w:r w:rsidRPr="00907CE8">
        <w:rPr>
          <w:rFonts w:ascii="Lato" w:hAnsi="Lato"/>
          <w:sz w:val="22"/>
          <w:szCs w:val="22"/>
        </w:rPr>
        <w:t xml:space="preserve"> références d’évaluation similaire (commanditaire, contact, pays, sujet, résultat obtenu)</w:t>
      </w:r>
      <w:r w:rsidRPr="00337047">
        <w:rPr>
          <w:rFonts w:ascii="Lato" w:hAnsi="Lato"/>
          <w:sz w:val="22"/>
          <w:szCs w:val="22"/>
        </w:rPr>
        <w:t> ;</w:t>
      </w:r>
    </w:p>
    <w:p w14:paraId="102320B1" w14:textId="6A1C9FE6" w:rsidR="00AA0B06" w:rsidRPr="00907CE8" w:rsidRDefault="00AA0B06" w:rsidP="00AA0B06">
      <w:pPr>
        <w:pStyle w:val="PUAMItexte"/>
        <w:numPr>
          <w:ilvl w:val="0"/>
          <w:numId w:val="23"/>
        </w:numPr>
        <w:spacing w:line="276" w:lineRule="auto"/>
        <w:ind w:left="142"/>
        <w:rPr>
          <w:rFonts w:ascii="Lato" w:hAnsi="Lato"/>
          <w:sz w:val="22"/>
          <w:szCs w:val="22"/>
        </w:rPr>
      </w:pPr>
      <w:r w:rsidRPr="00907CE8">
        <w:rPr>
          <w:rFonts w:ascii="Lato" w:hAnsi="Lato"/>
          <w:sz w:val="22"/>
          <w:szCs w:val="22"/>
        </w:rPr>
        <w:t>Un document synthétique comportant :</w:t>
      </w:r>
    </w:p>
    <w:p w14:paraId="2EA9E697" w14:textId="38200C04" w:rsidR="00AA0B06" w:rsidRPr="00907CE8" w:rsidRDefault="00AA0B06" w:rsidP="00AA0B06">
      <w:pPr>
        <w:pStyle w:val="PUAMItexte"/>
        <w:numPr>
          <w:ilvl w:val="0"/>
          <w:numId w:val="24"/>
        </w:numPr>
        <w:spacing w:line="276" w:lineRule="auto"/>
        <w:rPr>
          <w:rFonts w:ascii="Lato" w:hAnsi="Lato"/>
          <w:sz w:val="22"/>
          <w:szCs w:val="22"/>
        </w:rPr>
      </w:pPr>
      <w:r w:rsidRPr="00907CE8">
        <w:rPr>
          <w:rFonts w:ascii="Lato" w:hAnsi="Lato"/>
          <w:sz w:val="22"/>
          <w:szCs w:val="22"/>
        </w:rPr>
        <w:t xml:space="preserve">La compréhension des termes de référence en lien avec les qualifications et expériences ainsi que toute suggestion visant à améliorer les termes de référence, dans l’optique de l’atteinte des résultats attendus ; </w:t>
      </w:r>
    </w:p>
    <w:p w14:paraId="470002DA" w14:textId="77777777" w:rsidR="00AA0B06" w:rsidRPr="00907CE8" w:rsidRDefault="00AA0B06" w:rsidP="00AA0B06">
      <w:pPr>
        <w:pStyle w:val="PUAMItexte"/>
        <w:numPr>
          <w:ilvl w:val="0"/>
          <w:numId w:val="24"/>
        </w:numPr>
        <w:spacing w:line="276" w:lineRule="auto"/>
        <w:rPr>
          <w:rFonts w:ascii="Lato" w:hAnsi="Lato"/>
          <w:sz w:val="22"/>
          <w:szCs w:val="22"/>
        </w:rPr>
      </w:pPr>
      <w:r w:rsidRPr="00907CE8">
        <w:rPr>
          <w:rFonts w:ascii="Lato" w:hAnsi="Lato"/>
          <w:sz w:val="22"/>
          <w:szCs w:val="22"/>
        </w:rPr>
        <w:t>Une méthodologie complète et structurée ;</w:t>
      </w:r>
    </w:p>
    <w:p w14:paraId="667A306C" w14:textId="77777777" w:rsidR="00AA0B06" w:rsidRPr="00907CE8" w:rsidRDefault="00AA0B06" w:rsidP="00AA0B06">
      <w:pPr>
        <w:pStyle w:val="PUAMItexte"/>
        <w:numPr>
          <w:ilvl w:val="0"/>
          <w:numId w:val="24"/>
        </w:numPr>
        <w:spacing w:line="276" w:lineRule="auto"/>
        <w:rPr>
          <w:rFonts w:ascii="Lato" w:hAnsi="Lato"/>
          <w:sz w:val="22"/>
          <w:szCs w:val="22"/>
        </w:rPr>
      </w:pPr>
      <w:r w:rsidRPr="00907CE8">
        <w:rPr>
          <w:rFonts w:ascii="Lato" w:hAnsi="Lato"/>
          <w:sz w:val="22"/>
          <w:szCs w:val="22"/>
        </w:rPr>
        <w:t xml:space="preserve">Une proposition budgétaire (TTC) ; </w:t>
      </w:r>
    </w:p>
    <w:p w14:paraId="78A08728" w14:textId="52857EB1" w:rsidR="00AA0B06" w:rsidRDefault="00AA0B06" w:rsidP="00AA0B06">
      <w:pPr>
        <w:pStyle w:val="PUAMItexte"/>
        <w:numPr>
          <w:ilvl w:val="0"/>
          <w:numId w:val="24"/>
        </w:numPr>
        <w:spacing w:line="276" w:lineRule="auto"/>
        <w:rPr>
          <w:rFonts w:ascii="Lato" w:hAnsi="Lato"/>
          <w:sz w:val="22"/>
          <w:szCs w:val="22"/>
        </w:rPr>
      </w:pPr>
      <w:r w:rsidRPr="00907CE8">
        <w:rPr>
          <w:rFonts w:ascii="Lato" w:hAnsi="Lato"/>
          <w:sz w:val="22"/>
          <w:szCs w:val="22"/>
        </w:rPr>
        <w:t>Un chronogramme.</w:t>
      </w:r>
    </w:p>
    <w:p w14:paraId="21758ABD" w14:textId="7063FA1B" w:rsidR="000F66A3" w:rsidRPr="000F66A3" w:rsidRDefault="00907CE8" w:rsidP="000F66A3">
      <w:pPr>
        <w:pStyle w:val="Paragraphedeliste"/>
        <w:numPr>
          <w:ilvl w:val="0"/>
          <w:numId w:val="24"/>
        </w:numPr>
        <w:rPr>
          <w:rFonts w:ascii="Lato" w:hAnsi="Lato" w:cs="Calibri"/>
          <w:sz w:val="22"/>
          <w:szCs w:val="22"/>
          <w:lang w:val="fr-FR" w:eastAsia="ar-SA"/>
        </w:rPr>
      </w:pPr>
      <w:r w:rsidRPr="000F66A3">
        <w:rPr>
          <w:rFonts w:ascii="Lato" w:hAnsi="Lato"/>
        </w:rPr>
        <w:t>Indiquer la disponibilité – le temps souhaité</w:t>
      </w:r>
      <w:r w:rsidR="00B17049" w:rsidRPr="000F66A3">
        <w:rPr>
          <w:rFonts w:ascii="Lato" w:hAnsi="Lato"/>
        </w:rPr>
        <w:t xml:space="preserve"> </w:t>
      </w:r>
      <w:r w:rsidRPr="000F66A3">
        <w:rPr>
          <w:rFonts w:ascii="Lato" w:hAnsi="Lato"/>
        </w:rPr>
        <w:t xml:space="preserve">pour la réalisation de la consultance est du </w:t>
      </w:r>
      <w:r w:rsidR="000F66A3" w:rsidRPr="000F66A3">
        <w:rPr>
          <w:rFonts w:ascii="Lato" w:hAnsi="Lato" w:cs="Calibri"/>
          <w:sz w:val="22"/>
          <w:szCs w:val="22"/>
          <w:lang w:val="fr-FR" w:eastAsia="ar-SA"/>
        </w:rPr>
        <w:t>01/01</w:t>
      </w:r>
      <w:r w:rsidR="000F66A3">
        <w:rPr>
          <w:rFonts w:ascii="Lato" w:hAnsi="Lato" w:cs="Calibri"/>
          <w:sz w:val="22"/>
          <w:szCs w:val="22"/>
          <w:lang w:val="fr-FR" w:eastAsia="ar-SA"/>
        </w:rPr>
        <w:t>/21</w:t>
      </w:r>
      <w:r w:rsidR="000F66A3" w:rsidRPr="000F66A3">
        <w:rPr>
          <w:rFonts w:ascii="Lato" w:hAnsi="Lato" w:cs="Calibri"/>
          <w:sz w:val="22"/>
          <w:szCs w:val="22"/>
          <w:lang w:val="fr-FR" w:eastAsia="ar-SA"/>
        </w:rPr>
        <w:t xml:space="preserve"> au 15/02/21</w:t>
      </w:r>
    </w:p>
    <w:p w14:paraId="665A3220" w14:textId="4FAFAC65" w:rsidR="00B17049" w:rsidRPr="00907CE8" w:rsidRDefault="00B17049" w:rsidP="000F66A3">
      <w:pPr>
        <w:pStyle w:val="PUAMItexte"/>
        <w:spacing w:line="276" w:lineRule="auto"/>
        <w:ind w:left="720"/>
        <w:rPr>
          <w:rFonts w:ascii="Lato" w:hAnsi="Lato"/>
          <w:sz w:val="22"/>
          <w:szCs w:val="22"/>
        </w:rPr>
      </w:pPr>
    </w:p>
    <w:p w14:paraId="23E4CC14" w14:textId="14A6E283" w:rsidR="0010095B" w:rsidRPr="00337047" w:rsidRDefault="0010095B" w:rsidP="00AA0B06">
      <w:pPr>
        <w:spacing w:line="264" w:lineRule="auto"/>
        <w:jc w:val="both"/>
        <w:rPr>
          <w:rFonts w:ascii="Lato" w:eastAsiaTheme="minorHAnsi" w:hAnsi="Lato"/>
        </w:rPr>
      </w:pPr>
    </w:p>
    <w:sectPr w:rsidR="0010095B" w:rsidRPr="00337047" w:rsidSect="005F191B">
      <w:headerReference w:type="even" r:id="rId15"/>
      <w:footerReference w:type="default" r:id="rId16"/>
      <w:headerReference w:type="first" r:id="rId17"/>
      <w:pgSz w:w="11906" w:h="16838"/>
      <w:pgMar w:top="1135"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C7A5" w16cex:dateUtc="2020-11-08T18:38:00Z"/>
  <w16cex:commentExtensible w16cex:durableId="2352C7F5" w16cex:dateUtc="2020-11-08T18:39:00Z"/>
  <w16cex:commentExtensible w16cex:durableId="234FA2DA" w16cex:dateUtc="2020-11-06T09:24:00Z"/>
  <w16cex:commentExtensible w16cex:durableId="2353CE5F" w16cex:dateUtc="2020-11-09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09B794" w16cid:durableId="234E7B8E"/>
  <w16cid:commentId w16cid:paraId="125CC418" w16cid:durableId="2352C7A5"/>
  <w16cid:commentId w16cid:paraId="3759AA64" w16cid:durableId="2352C7F5"/>
  <w16cid:commentId w16cid:paraId="358A4054" w16cid:durableId="234E7B92"/>
  <w16cid:commentId w16cid:paraId="7537A242" w16cid:durableId="234FA2DA"/>
  <w16cid:commentId w16cid:paraId="65C3C292" w16cid:durableId="234E7B93"/>
  <w16cid:commentId w16cid:paraId="583166CA" w16cid:durableId="234E7B94"/>
  <w16cid:commentId w16cid:paraId="73ECBF04" w16cid:durableId="234E7B95"/>
  <w16cid:commentId w16cid:paraId="68E3B0D8" w16cid:durableId="234E7B96"/>
  <w16cid:commentId w16cid:paraId="6DEE5B83" w16cid:durableId="234F7BD0"/>
  <w16cid:commentId w16cid:paraId="1BF6FEFA" w16cid:durableId="2353CE5F"/>
  <w16cid:commentId w16cid:paraId="3F5C1B51" w16cid:durableId="234E7B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41E2" w14:textId="77777777" w:rsidR="00D04FFB" w:rsidRDefault="00D04FFB" w:rsidP="00CA1934">
      <w:pPr>
        <w:spacing w:after="0" w:line="240" w:lineRule="auto"/>
      </w:pPr>
      <w:r>
        <w:separator/>
      </w:r>
    </w:p>
  </w:endnote>
  <w:endnote w:type="continuationSeparator" w:id="0">
    <w:p w14:paraId="56FE1C17" w14:textId="77777777" w:rsidR="00D04FFB" w:rsidRDefault="00D04FFB" w:rsidP="00CA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Medium">
    <w:altName w:val="Calibri"/>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Pro Book">
    <w:altName w:val="Segoe UI Semibold"/>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21E6" w14:textId="6F8BEF19" w:rsidR="00D31991" w:rsidRPr="00D92AD2" w:rsidRDefault="00D31991" w:rsidP="005F191B">
    <w:pPr>
      <w:pStyle w:val="Pieddepage"/>
      <w:rPr>
        <w:lang w:val="en-US"/>
      </w:rPr>
    </w:pPr>
    <w:r w:rsidRPr="000004B5">
      <w:rPr>
        <w:lang w:val="en-US"/>
      </w:rPr>
      <w:tab/>
    </w:r>
    <w:sdt>
      <w:sdtPr>
        <w:id w:val="-400372284"/>
        <w:docPartObj>
          <w:docPartGallery w:val="Page Numbers (Bottom of Page)"/>
          <w:docPartUnique/>
        </w:docPartObj>
      </w:sdtPr>
      <w:sdtEndPr>
        <w:rPr>
          <w:noProof/>
        </w:rPr>
      </w:sdtEndPr>
      <w:sdtContent>
        <w:r>
          <w:fldChar w:fldCharType="begin"/>
        </w:r>
        <w:r w:rsidRPr="000004B5">
          <w:rPr>
            <w:lang w:val="en-US"/>
          </w:rPr>
          <w:instrText xml:space="preserve"> PAGE   \* MERGEFORMAT </w:instrText>
        </w:r>
        <w:r>
          <w:fldChar w:fldCharType="separate"/>
        </w:r>
        <w:r w:rsidR="00DF5A90">
          <w:rPr>
            <w:noProof/>
            <w:lang w:val="en-US"/>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40E68" w14:textId="77777777" w:rsidR="00D04FFB" w:rsidRDefault="00D04FFB" w:rsidP="00CA1934">
      <w:pPr>
        <w:spacing w:after="0" w:line="240" w:lineRule="auto"/>
      </w:pPr>
      <w:r>
        <w:separator/>
      </w:r>
    </w:p>
  </w:footnote>
  <w:footnote w:type="continuationSeparator" w:id="0">
    <w:p w14:paraId="4BAE53A9" w14:textId="77777777" w:rsidR="00D04FFB" w:rsidRDefault="00D04FFB" w:rsidP="00CA1934">
      <w:pPr>
        <w:spacing w:after="0" w:line="240" w:lineRule="auto"/>
      </w:pPr>
      <w:r>
        <w:continuationSeparator/>
      </w:r>
    </w:p>
  </w:footnote>
  <w:footnote w:id="1">
    <w:p w14:paraId="4618FD18" w14:textId="77777777" w:rsidR="006D689E" w:rsidRPr="00907CE8" w:rsidRDefault="006D689E" w:rsidP="006D689E">
      <w:pPr>
        <w:pStyle w:val="Notedebasdepage"/>
        <w:rPr>
          <w:rFonts w:ascii="Lato" w:hAnsi="Lato"/>
        </w:rPr>
      </w:pPr>
      <w:r w:rsidRPr="00907CE8">
        <w:rPr>
          <w:rStyle w:val="Appelnotedebasdep"/>
          <w:rFonts w:ascii="Lato" w:hAnsi="Lato"/>
        </w:rPr>
        <w:footnoteRef/>
      </w:r>
      <w:r w:rsidRPr="00907CE8">
        <w:rPr>
          <w:rFonts w:ascii="Lato" w:hAnsi="Lato"/>
        </w:rPr>
        <w:t xml:space="preserve"> </w:t>
      </w:r>
      <w:r w:rsidRPr="00907CE8">
        <w:rPr>
          <w:rFonts w:ascii="Lato" w:hAnsi="Lato"/>
          <w:sz w:val="16"/>
          <w:szCs w:val="16"/>
        </w:rPr>
        <w:t>Plan de réponse humanitaire COVID-19, OCHA, Ministère de la Santé RDC, Avril 2020</w:t>
      </w:r>
    </w:p>
  </w:footnote>
  <w:footnote w:id="2">
    <w:p w14:paraId="47B25F4E" w14:textId="77777777" w:rsidR="006D689E" w:rsidRPr="00907CE8" w:rsidRDefault="006D689E" w:rsidP="006D689E">
      <w:pPr>
        <w:pStyle w:val="Notedebasdepage"/>
        <w:rPr>
          <w:rFonts w:ascii="Lato" w:hAnsi="Lato"/>
        </w:rPr>
      </w:pPr>
      <w:r w:rsidRPr="00907CE8">
        <w:rPr>
          <w:rStyle w:val="Appelnotedebasdep"/>
          <w:rFonts w:ascii="Lato" w:hAnsi="Lato"/>
          <w:szCs w:val="16"/>
        </w:rPr>
        <w:footnoteRef/>
      </w:r>
      <w:r w:rsidRPr="00907CE8">
        <w:rPr>
          <w:rFonts w:ascii="Lato" w:hAnsi="Lato"/>
          <w:sz w:val="16"/>
          <w:szCs w:val="16"/>
        </w:rPr>
        <w:t xml:space="preserve"> RDC Indicateurs de développement, Banque mondiale, 2018</w:t>
      </w:r>
    </w:p>
  </w:footnote>
  <w:footnote w:id="3">
    <w:p w14:paraId="20FF0828" w14:textId="77777777" w:rsidR="006D689E" w:rsidRPr="00907CE8" w:rsidRDefault="006D689E" w:rsidP="006D689E">
      <w:pPr>
        <w:pStyle w:val="Notedebasdepage"/>
        <w:rPr>
          <w:rFonts w:ascii="Lato" w:hAnsi="Lato"/>
        </w:rPr>
      </w:pPr>
      <w:r w:rsidRPr="00907CE8">
        <w:rPr>
          <w:rStyle w:val="Appelnotedebasdep"/>
          <w:rFonts w:ascii="Lato" w:hAnsi="Lato"/>
          <w:szCs w:val="16"/>
        </w:rPr>
        <w:footnoteRef/>
      </w:r>
      <w:r w:rsidRPr="00907CE8">
        <w:rPr>
          <w:rFonts w:ascii="Lato" w:hAnsi="Lato"/>
          <w:sz w:val="16"/>
          <w:szCs w:val="16"/>
        </w:rPr>
        <w:t xml:space="preserve"> Rapport, Province Oriental, Profil résumé/ Pauvreté et conditions de vie des ménages, PNUD, mars 2009</w:t>
      </w:r>
    </w:p>
  </w:footnote>
  <w:footnote w:id="4">
    <w:p w14:paraId="72E8B1AE" w14:textId="77777777" w:rsidR="006D689E" w:rsidRPr="003023CD" w:rsidRDefault="006D689E" w:rsidP="006D689E">
      <w:pPr>
        <w:pStyle w:val="Notedebasdepage"/>
      </w:pPr>
      <w:r w:rsidRPr="00907CE8">
        <w:rPr>
          <w:rStyle w:val="Appelnotedebasdep"/>
          <w:rFonts w:ascii="Lato" w:hAnsi="Lato"/>
          <w:szCs w:val="16"/>
        </w:rPr>
        <w:footnoteRef/>
      </w:r>
      <w:r w:rsidRPr="00907CE8">
        <w:rPr>
          <w:rFonts w:ascii="Lato" w:hAnsi="Lato"/>
          <w:sz w:val="16"/>
          <w:szCs w:val="16"/>
        </w:rPr>
        <w:t xml:space="preserve"> </w:t>
      </w:r>
      <w:r w:rsidRPr="00907CE8">
        <w:rPr>
          <w:rFonts w:ascii="Lato" w:hAnsi="Lato"/>
          <w:i/>
          <w:sz w:val="16"/>
          <w:szCs w:val="16"/>
        </w:rPr>
        <w:t>« Les criquets pèlerins : une éventuelle crise en gestation en RDC »,</w:t>
      </w:r>
      <w:r w:rsidRPr="00907CE8">
        <w:rPr>
          <w:rFonts w:ascii="Lato" w:hAnsi="Lato"/>
          <w:sz w:val="16"/>
          <w:szCs w:val="16"/>
        </w:rPr>
        <w:t xml:space="preserve"> Mercy Corps, Mai 2020</w:t>
      </w:r>
    </w:p>
  </w:footnote>
  <w:footnote w:id="5">
    <w:p w14:paraId="63F56788" w14:textId="77777777" w:rsidR="006D689E" w:rsidRPr="00907CE8" w:rsidRDefault="006D689E" w:rsidP="006D689E">
      <w:pPr>
        <w:pStyle w:val="Notedebasdepage"/>
        <w:rPr>
          <w:rFonts w:ascii="Lato" w:hAnsi="Lato"/>
        </w:rPr>
      </w:pPr>
      <w:r w:rsidRPr="00907CE8">
        <w:rPr>
          <w:rStyle w:val="Appelnotedebasdep"/>
          <w:rFonts w:ascii="Lato" w:hAnsi="Lato"/>
          <w:szCs w:val="16"/>
        </w:rPr>
        <w:footnoteRef/>
      </w:r>
      <w:r w:rsidRPr="00907CE8">
        <w:rPr>
          <w:rFonts w:ascii="Lato" w:hAnsi="Lato"/>
          <w:sz w:val="16"/>
          <w:szCs w:val="16"/>
        </w:rPr>
        <w:t xml:space="preserve"> 17</w:t>
      </w:r>
      <w:r w:rsidRPr="00907CE8">
        <w:rPr>
          <w:rFonts w:ascii="Lato" w:hAnsi="Lato"/>
          <w:sz w:val="16"/>
          <w:szCs w:val="16"/>
          <w:vertAlign w:val="superscript"/>
        </w:rPr>
        <w:t>e</w:t>
      </w:r>
      <w:r w:rsidRPr="00907CE8">
        <w:rPr>
          <w:rFonts w:ascii="Lato" w:hAnsi="Lato"/>
          <w:sz w:val="16"/>
          <w:szCs w:val="16"/>
        </w:rPr>
        <w:t xml:space="preserve"> Cycle IPC, août 2019</w:t>
      </w:r>
    </w:p>
  </w:footnote>
  <w:footnote w:id="6">
    <w:p w14:paraId="5891A80B" w14:textId="77777777" w:rsidR="006D689E" w:rsidRPr="00907CE8" w:rsidRDefault="006D689E" w:rsidP="006D689E">
      <w:pPr>
        <w:pStyle w:val="Notedebasdepage"/>
        <w:rPr>
          <w:rFonts w:ascii="Lato" w:hAnsi="Lato"/>
        </w:rPr>
      </w:pPr>
      <w:r w:rsidRPr="00907CE8">
        <w:rPr>
          <w:rStyle w:val="Appelnotedebasdep"/>
          <w:rFonts w:ascii="Lato" w:hAnsi="Lato"/>
          <w:szCs w:val="16"/>
        </w:rPr>
        <w:footnoteRef/>
      </w:r>
      <w:r w:rsidRPr="00907CE8">
        <w:rPr>
          <w:rFonts w:ascii="Lato" w:hAnsi="Lato"/>
          <w:sz w:val="16"/>
          <w:szCs w:val="16"/>
        </w:rPr>
        <w:t xml:space="preserve"> RDC Plan Opérationnel 2020, Mars 2020</w:t>
      </w:r>
    </w:p>
  </w:footnote>
  <w:footnote w:id="7">
    <w:p w14:paraId="66E88D74" w14:textId="77777777" w:rsidR="006D689E" w:rsidRPr="00907CE8" w:rsidRDefault="006D689E" w:rsidP="006D689E">
      <w:pPr>
        <w:pStyle w:val="Notedebasdepage"/>
        <w:rPr>
          <w:rFonts w:ascii="Lato" w:hAnsi="Lato"/>
        </w:rPr>
      </w:pPr>
      <w:r w:rsidRPr="00907CE8">
        <w:rPr>
          <w:rStyle w:val="Appelnotedebasdep"/>
          <w:rFonts w:ascii="Lato" w:hAnsi="Lato"/>
          <w:szCs w:val="16"/>
        </w:rPr>
        <w:footnoteRef/>
      </w:r>
      <w:r w:rsidRPr="00907CE8">
        <w:rPr>
          <w:rFonts w:ascii="Lato" w:hAnsi="Lato"/>
          <w:sz w:val="16"/>
          <w:szCs w:val="16"/>
        </w:rPr>
        <w:t xml:space="preserve"> </w:t>
      </w:r>
      <w:hyperlink r:id="rId1" w:history="1">
        <w:r w:rsidRPr="00907CE8">
          <w:rPr>
            <w:rStyle w:val="Lienhypertexte"/>
            <w:rFonts w:ascii="Lato" w:eastAsiaTheme="majorEastAsia" w:hAnsi="Lato"/>
            <w:sz w:val="16"/>
            <w:szCs w:val="16"/>
          </w:rPr>
          <w:t>https://reliefweb.int/sites/reliefweb.int/files/resources/COD_Nutri_MCG_RetardCroiss_3L_20190902.pdf</w:t>
        </w:r>
      </w:hyperlink>
    </w:p>
  </w:footnote>
  <w:footnote w:id="8">
    <w:p w14:paraId="028784B8" w14:textId="77777777" w:rsidR="006D689E" w:rsidRPr="00907CE8" w:rsidRDefault="006D689E" w:rsidP="006D689E">
      <w:pPr>
        <w:pStyle w:val="Notedebasdepage"/>
        <w:rPr>
          <w:rFonts w:ascii="Lato" w:hAnsi="Lato"/>
        </w:rPr>
      </w:pPr>
      <w:r w:rsidRPr="00907CE8">
        <w:rPr>
          <w:rStyle w:val="Appelnotedebasdep"/>
          <w:rFonts w:ascii="Lato" w:hAnsi="Lato"/>
          <w:szCs w:val="16"/>
        </w:rPr>
        <w:footnoteRef/>
      </w:r>
      <w:r w:rsidRPr="00907CE8">
        <w:rPr>
          <w:rFonts w:ascii="Lato" w:hAnsi="Lato"/>
          <w:sz w:val="16"/>
          <w:szCs w:val="16"/>
        </w:rPr>
        <w:t xml:space="preserve"> Enquête par grappes à indicateurs multiples – RDC 2018, MICS 2018</w:t>
      </w:r>
    </w:p>
  </w:footnote>
  <w:footnote w:id="9">
    <w:p w14:paraId="23FB37B3" w14:textId="77777777" w:rsidR="006D689E" w:rsidRPr="00907CE8" w:rsidRDefault="006D689E" w:rsidP="006D689E">
      <w:pPr>
        <w:pStyle w:val="Notedebasdepage"/>
        <w:rPr>
          <w:rFonts w:ascii="Lato" w:hAnsi="Lato"/>
        </w:rPr>
      </w:pPr>
      <w:r w:rsidRPr="00907CE8">
        <w:rPr>
          <w:rStyle w:val="Appelnotedebasdep"/>
          <w:rFonts w:ascii="Lato" w:hAnsi="Lato"/>
          <w:szCs w:val="16"/>
        </w:rPr>
        <w:footnoteRef/>
      </w:r>
      <w:r w:rsidRPr="00907CE8">
        <w:rPr>
          <w:rFonts w:ascii="Lato" w:hAnsi="Lato"/>
          <w:sz w:val="16"/>
          <w:szCs w:val="16"/>
        </w:rPr>
        <w:t xml:space="preserve"> RDC Plan Opérationnel 2020, Mars 2020</w:t>
      </w:r>
    </w:p>
  </w:footnote>
  <w:footnote w:id="10">
    <w:p w14:paraId="779491FD" w14:textId="77777777" w:rsidR="006D689E" w:rsidRPr="003023CD" w:rsidRDefault="006D689E" w:rsidP="006D689E">
      <w:pPr>
        <w:pStyle w:val="Notedebasdepage"/>
      </w:pPr>
      <w:r w:rsidRPr="00907CE8">
        <w:rPr>
          <w:rStyle w:val="Appelnotedebasdep"/>
          <w:rFonts w:ascii="Lato" w:hAnsi="Lato"/>
          <w:szCs w:val="16"/>
        </w:rPr>
        <w:footnoteRef/>
      </w:r>
      <w:r w:rsidRPr="00907CE8">
        <w:rPr>
          <w:rFonts w:ascii="Lato" w:hAnsi="Lato"/>
          <w:sz w:val="16"/>
          <w:szCs w:val="16"/>
        </w:rPr>
        <w:t xml:space="preserve"> Enquête par grappes à indicateurs multiples – RDC 2018, MICS 2018</w:t>
      </w:r>
    </w:p>
  </w:footnote>
  <w:footnote w:id="11">
    <w:p w14:paraId="19B17E17" w14:textId="2A774C67" w:rsidR="006D689E" w:rsidRPr="00907CE8" w:rsidRDefault="006D689E" w:rsidP="006D689E">
      <w:pPr>
        <w:pStyle w:val="Notedebasdepage"/>
        <w:rPr>
          <w:rFonts w:ascii="Lato" w:hAnsi="Lato"/>
        </w:rPr>
      </w:pPr>
      <w:r w:rsidRPr="00907CE8">
        <w:rPr>
          <w:rStyle w:val="Appelnotedebasdep"/>
          <w:rFonts w:ascii="Lato" w:hAnsi="Lato"/>
          <w:szCs w:val="16"/>
        </w:rPr>
        <w:footnoteRef/>
      </w:r>
      <w:r w:rsidRPr="00907CE8">
        <w:rPr>
          <w:rFonts w:ascii="Lato" w:hAnsi="Lato"/>
          <w:sz w:val="16"/>
          <w:szCs w:val="16"/>
        </w:rPr>
        <w:t xml:space="preserve"> Bulletin m-Kengela n°49 RDC, Avril 2020, CAID</w:t>
      </w:r>
      <w:r w:rsidR="008E0DD0">
        <w:rPr>
          <w:rFonts w:ascii="Lato" w:hAnsi="Lato"/>
          <w:sz w:val="16"/>
          <w:szCs w:val="16"/>
        </w:rPr>
        <w:t>.</w:t>
      </w:r>
    </w:p>
  </w:footnote>
  <w:footnote w:id="12">
    <w:p w14:paraId="493EF07A" w14:textId="77777777" w:rsidR="006D689E" w:rsidRPr="006D689E" w:rsidRDefault="006D689E" w:rsidP="006D689E">
      <w:pPr>
        <w:pStyle w:val="Notedebasdepage"/>
        <w:rPr>
          <w:lang w:val="en-US"/>
        </w:rPr>
      </w:pPr>
      <w:r w:rsidRPr="00907CE8">
        <w:rPr>
          <w:rStyle w:val="Appelnotedebasdep"/>
          <w:rFonts w:ascii="Lato" w:hAnsi="Lato"/>
        </w:rPr>
        <w:footnoteRef/>
      </w:r>
      <w:r w:rsidRPr="00907CE8">
        <w:rPr>
          <w:rFonts w:ascii="Lato" w:hAnsi="Lato"/>
          <w:lang w:val="en-US"/>
        </w:rPr>
        <w:t xml:space="preserve"> </w:t>
      </w:r>
      <w:r w:rsidRPr="00907CE8">
        <w:rPr>
          <w:rFonts w:ascii="Lato" w:hAnsi="Lato"/>
          <w:sz w:val="16"/>
          <w:szCs w:val="16"/>
          <w:lang w:val="en-US"/>
        </w:rPr>
        <w:t xml:space="preserve">Dataviz Vam, WFP </w:t>
      </w:r>
      <w:hyperlink r:id="rId2" w:history="1">
        <w:r w:rsidRPr="00907CE8">
          <w:rPr>
            <w:rStyle w:val="Lienhypertexte"/>
            <w:rFonts w:ascii="Lato" w:eastAsiaTheme="majorEastAsia" w:hAnsi="Lato"/>
            <w:sz w:val="16"/>
            <w:szCs w:val="16"/>
            <w:lang w:val="en-US"/>
          </w:rPr>
          <w:t>https://dataviz.vam.wfp.org/economic_explorer/prices</w:t>
        </w:r>
      </w:hyperlink>
    </w:p>
  </w:footnote>
  <w:footnote w:id="13">
    <w:p w14:paraId="163DA740" w14:textId="77777777" w:rsidR="00AC0403" w:rsidRPr="00F155FF" w:rsidRDefault="00AC0403" w:rsidP="00AC0403">
      <w:pPr>
        <w:spacing w:line="264" w:lineRule="auto"/>
        <w:jc w:val="both"/>
        <w:rPr>
          <w:rFonts w:ascii="Lato" w:eastAsiaTheme="minorHAnsi" w:hAnsi="Lato"/>
          <w:sz w:val="16"/>
          <w:szCs w:val="16"/>
          <w:lang w:eastAsia="en-US"/>
        </w:rPr>
      </w:pPr>
      <w:r w:rsidRPr="00F155FF">
        <w:rPr>
          <w:rStyle w:val="Appelnotedebasdep"/>
          <w:rFonts w:ascii="Lato" w:hAnsi="Lato"/>
          <w:sz w:val="16"/>
          <w:szCs w:val="16"/>
        </w:rPr>
        <w:footnoteRef/>
      </w:r>
      <w:r w:rsidRPr="00F155FF">
        <w:rPr>
          <w:rFonts w:ascii="Lato" w:hAnsi="Lato"/>
          <w:sz w:val="16"/>
          <w:szCs w:val="16"/>
        </w:rPr>
        <w:t xml:space="preserve"> </w:t>
      </w:r>
      <w:r w:rsidRPr="00F155FF">
        <w:rPr>
          <w:rFonts w:ascii="Lato" w:eastAsiaTheme="minorHAnsi" w:hAnsi="Lato"/>
          <w:sz w:val="16"/>
          <w:szCs w:val="16"/>
          <w:lang w:eastAsia="en-US"/>
        </w:rPr>
        <w:t>Le rapport devra respecter la brand identity d’ACF : un format indicatif sera proposé par ACF.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3FDD" w14:textId="77777777" w:rsidR="00D31991" w:rsidRDefault="00D31991">
    <w:pPr>
      <w:pStyle w:val="En-tte"/>
    </w:pPr>
    <w:r>
      <w:rPr>
        <w:noProof/>
      </w:rPr>
      <w:drawing>
        <wp:anchor distT="0" distB="0" distL="114300" distR="114300" simplePos="0" relativeHeight="251663360" behindDoc="1" locked="0" layoutInCell="0" allowOverlap="1" wp14:anchorId="67BE9489" wp14:editId="155538DE">
          <wp:simplePos x="0" y="0"/>
          <wp:positionH relativeFrom="margin">
            <wp:align>center</wp:align>
          </wp:positionH>
          <wp:positionV relativeFrom="margin">
            <wp:align>center</wp:align>
          </wp:positionV>
          <wp:extent cx="5728970" cy="3613785"/>
          <wp:effectExtent l="0" t="0" r="0" b="0"/>
          <wp:wrapNone/>
          <wp:docPr id="9" name="Image 5" descr="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8970" cy="3613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DE89" w14:textId="77777777" w:rsidR="00D31991" w:rsidRDefault="00D31991">
    <w:pPr>
      <w:pStyle w:val="En-tte"/>
    </w:pPr>
    <w:r>
      <w:rPr>
        <w:noProof/>
      </w:rPr>
      <w:drawing>
        <wp:anchor distT="0" distB="0" distL="114300" distR="114300" simplePos="0" relativeHeight="251662336" behindDoc="1" locked="0" layoutInCell="0" allowOverlap="1" wp14:anchorId="0173621C" wp14:editId="42878E42">
          <wp:simplePos x="0" y="0"/>
          <wp:positionH relativeFrom="margin">
            <wp:align>center</wp:align>
          </wp:positionH>
          <wp:positionV relativeFrom="margin">
            <wp:align>center</wp:align>
          </wp:positionV>
          <wp:extent cx="5728970" cy="3613785"/>
          <wp:effectExtent l="0" t="0" r="0" b="0"/>
          <wp:wrapNone/>
          <wp:docPr id="7" name="Image 4" descr="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8970" cy="3613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0C"/>
    <w:multiLevelType w:val="multilevel"/>
    <w:tmpl w:val="BDE81074"/>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512" w:hanging="108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2232" w:hanging="1800"/>
      </w:pPr>
      <w:rPr>
        <w:rFonts w:hint="default"/>
      </w:rPr>
    </w:lvl>
    <w:lvl w:ilvl="6">
      <w:start w:val="1"/>
      <w:numFmt w:val="decimal"/>
      <w:isLgl/>
      <w:lvlText w:val="%1.%2.%3.%4.%5.%6.%7."/>
      <w:lvlJc w:val="left"/>
      <w:pPr>
        <w:ind w:left="2592" w:hanging="216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952" w:hanging="2520"/>
      </w:pPr>
      <w:rPr>
        <w:rFonts w:hint="default"/>
      </w:rPr>
    </w:lvl>
  </w:abstractNum>
  <w:abstractNum w:abstractNumId="1" w15:restartNumberingAfterBreak="0">
    <w:nsid w:val="07C07C5A"/>
    <w:multiLevelType w:val="hybridMultilevel"/>
    <w:tmpl w:val="93DA9F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597B10"/>
    <w:multiLevelType w:val="hybridMultilevel"/>
    <w:tmpl w:val="389AE292"/>
    <w:lvl w:ilvl="0" w:tplc="B6069888">
      <w:start w:val="2"/>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C55BAC"/>
    <w:multiLevelType w:val="hybridMultilevel"/>
    <w:tmpl w:val="604A7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921D7"/>
    <w:multiLevelType w:val="hybridMultilevel"/>
    <w:tmpl w:val="D8B647B4"/>
    <w:lvl w:ilvl="0" w:tplc="04090001">
      <w:start w:val="1"/>
      <w:numFmt w:val="bullet"/>
      <w:lvlText w:val=""/>
      <w:lvlJc w:val="left"/>
      <w:pPr>
        <w:tabs>
          <w:tab w:val="num" w:pos="744"/>
        </w:tabs>
        <w:ind w:left="800"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071661"/>
    <w:multiLevelType w:val="hybridMultilevel"/>
    <w:tmpl w:val="778CC8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7E4F51"/>
    <w:multiLevelType w:val="hybridMultilevel"/>
    <w:tmpl w:val="1ED40E10"/>
    <w:lvl w:ilvl="0" w:tplc="04090001">
      <w:start w:val="1"/>
      <w:numFmt w:val="bullet"/>
      <w:lvlText w:val=""/>
      <w:lvlJc w:val="left"/>
      <w:pPr>
        <w:tabs>
          <w:tab w:val="num" w:pos="744"/>
        </w:tabs>
        <w:ind w:left="80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31FF7"/>
    <w:multiLevelType w:val="hybridMultilevel"/>
    <w:tmpl w:val="F7DEBBFA"/>
    <w:lvl w:ilvl="0" w:tplc="B6069888">
      <w:start w:val="2"/>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75129"/>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1569"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32936BCF"/>
    <w:multiLevelType w:val="hybridMultilevel"/>
    <w:tmpl w:val="9EC0953A"/>
    <w:lvl w:ilvl="0" w:tplc="5EC661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F6276"/>
    <w:multiLevelType w:val="hybridMultilevel"/>
    <w:tmpl w:val="2B4A3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63856"/>
    <w:multiLevelType w:val="hybridMultilevel"/>
    <w:tmpl w:val="1180B9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4A1C09"/>
    <w:multiLevelType w:val="hybridMultilevel"/>
    <w:tmpl w:val="973EC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3A06E3"/>
    <w:multiLevelType w:val="hybridMultilevel"/>
    <w:tmpl w:val="E93AD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D03750"/>
    <w:multiLevelType w:val="hybridMultilevel"/>
    <w:tmpl w:val="857C7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54397"/>
    <w:multiLevelType w:val="hybridMultilevel"/>
    <w:tmpl w:val="666A5CCC"/>
    <w:lvl w:ilvl="0" w:tplc="ED64B7B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5EB6EDC"/>
    <w:multiLevelType w:val="hybridMultilevel"/>
    <w:tmpl w:val="88EEAD8E"/>
    <w:lvl w:ilvl="0" w:tplc="040C000D">
      <w:start w:val="1"/>
      <w:numFmt w:val="bullet"/>
      <w:lvlText w:val=""/>
      <w:lvlJc w:val="left"/>
      <w:pPr>
        <w:tabs>
          <w:tab w:val="num" w:pos="744"/>
        </w:tabs>
        <w:ind w:left="800" w:hanging="17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619380C"/>
    <w:multiLevelType w:val="hybridMultilevel"/>
    <w:tmpl w:val="ADF88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35B61"/>
    <w:multiLevelType w:val="hybridMultilevel"/>
    <w:tmpl w:val="ABB2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8D554A"/>
    <w:multiLevelType w:val="multilevel"/>
    <w:tmpl w:val="BDE81074"/>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512" w:hanging="108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2232" w:hanging="1800"/>
      </w:pPr>
      <w:rPr>
        <w:rFonts w:hint="default"/>
      </w:rPr>
    </w:lvl>
    <w:lvl w:ilvl="6">
      <w:start w:val="1"/>
      <w:numFmt w:val="decimal"/>
      <w:isLgl/>
      <w:lvlText w:val="%1.%2.%3.%4.%5.%6.%7."/>
      <w:lvlJc w:val="left"/>
      <w:pPr>
        <w:ind w:left="2592" w:hanging="216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952" w:hanging="2520"/>
      </w:pPr>
      <w:rPr>
        <w:rFonts w:hint="default"/>
      </w:rPr>
    </w:lvl>
  </w:abstractNum>
  <w:abstractNum w:abstractNumId="20" w15:restartNumberingAfterBreak="0">
    <w:nsid w:val="630331A6"/>
    <w:multiLevelType w:val="hybridMultilevel"/>
    <w:tmpl w:val="B5227A4A"/>
    <w:lvl w:ilvl="0" w:tplc="849E0022">
      <w:start w:val="1"/>
      <w:numFmt w:val="bullet"/>
      <w:lvlText w:val="-"/>
      <w:lvlJc w:val="left"/>
      <w:pPr>
        <w:tabs>
          <w:tab w:val="num" w:pos="744"/>
        </w:tabs>
        <w:ind w:left="800" w:hanging="17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71279C5"/>
    <w:multiLevelType w:val="hybridMultilevel"/>
    <w:tmpl w:val="AFB42F1E"/>
    <w:lvl w:ilvl="0" w:tplc="26FE25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25448C"/>
    <w:multiLevelType w:val="hybridMultilevel"/>
    <w:tmpl w:val="883026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4D03D8"/>
    <w:multiLevelType w:val="hybridMultilevel"/>
    <w:tmpl w:val="66508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6B16BE"/>
    <w:multiLevelType w:val="hybridMultilevel"/>
    <w:tmpl w:val="5F64EBE8"/>
    <w:lvl w:ilvl="0" w:tplc="B6069888">
      <w:start w:val="2"/>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F7211B"/>
    <w:multiLevelType w:val="hybridMultilevel"/>
    <w:tmpl w:val="82941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4"/>
  </w:num>
  <w:num w:numId="5">
    <w:abstractNumId w:val="8"/>
  </w:num>
  <w:num w:numId="6">
    <w:abstractNumId w:val="1"/>
  </w:num>
  <w:num w:numId="7">
    <w:abstractNumId w:val="15"/>
  </w:num>
  <w:num w:numId="8">
    <w:abstractNumId w:val="22"/>
  </w:num>
  <w:num w:numId="9">
    <w:abstractNumId w:val="5"/>
  </w:num>
  <w:num w:numId="10">
    <w:abstractNumId w:val="16"/>
  </w:num>
  <w:num w:numId="11">
    <w:abstractNumId w:val="0"/>
  </w:num>
  <w:num w:numId="12">
    <w:abstractNumId w:val="9"/>
  </w:num>
  <w:num w:numId="13">
    <w:abstractNumId w:val="25"/>
  </w:num>
  <w:num w:numId="14">
    <w:abstractNumId w:val="13"/>
  </w:num>
  <w:num w:numId="15">
    <w:abstractNumId w:val="18"/>
  </w:num>
  <w:num w:numId="16">
    <w:abstractNumId w:val="23"/>
  </w:num>
  <w:num w:numId="17">
    <w:abstractNumId w:val="12"/>
  </w:num>
  <w:num w:numId="18">
    <w:abstractNumId w:val="24"/>
  </w:num>
  <w:num w:numId="19">
    <w:abstractNumId w:val="14"/>
  </w:num>
  <w:num w:numId="20">
    <w:abstractNumId w:val="19"/>
  </w:num>
  <w:num w:numId="21">
    <w:abstractNumId w:val="7"/>
  </w:num>
  <w:num w:numId="22">
    <w:abstractNumId w:val="10"/>
  </w:num>
  <w:num w:numId="23">
    <w:abstractNumId w:val="3"/>
  </w:num>
  <w:num w:numId="24">
    <w:abstractNumId w:val="11"/>
  </w:num>
  <w:num w:numId="25">
    <w:abstractNumId w:val="2"/>
  </w:num>
  <w:num w:numId="26">
    <w:abstractNumId w:val="21"/>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34"/>
    <w:rsid w:val="00001ACE"/>
    <w:rsid w:val="00003A3D"/>
    <w:rsid w:val="000062AB"/>
    <w:rsid w:val="00006B8B"/>
    <w:rsid w:val="00006BF7"/>
    <w:rsid w:val="00006F08"/>
    <w:rsid w:val="00011991"/>
    <w:rsid w:val="000127C7"/>
    <w:rsid w:val="000137EF"/>
    <w:rsid w:val="00020C8C"/>
    <w:rsid w:val="0002212A"/>
    <w:rsid w:val="000227A2"/>
    <w:rsid w:val="00022AD9"/>
    <w:rsid w:val="00023151"/>
    <w:rsid w:val="00025F10"/>
    <w:rsid w:val="000325A9"/>
    <w:rsid w:val="00046660"/>
    <w:rsid w:val="00046913"/>
    <w:rsid w:val="00050A0E"/>
    <w:rsid w:val="00050CAD"/>
    <w:rsid w:val="00051BB0"/>
    <w:rsid w:val="00051ED0"/>
    <w:rsid w:val="00054430"/>
    <w:rsid w:val="00055C26"/>
    <w:rsid w:val="00060CD7"/>
    <w:rsid w:val="00060F8B"/>
    <w:rsid w:val="000614C2"/>
    <w:rsid w:val="0006206C"/>
    <w:rsid w:val="00062176"/>
    <w:rsid w:val="00066F7E"/>
    <w:rsid w:val="00067721"/>
    <w:rsid w:val="00067F87"/>
    <w:rsid w:val="00075C27"/>
    <w:rsid w:val="0008082C"/>
    <w:rsid w:val="00080E0F"/>
    <w:rsid w:val="0008145B"/>
    <w:rsid w:val="0009188C"/>
    <w:rsid w:val="00095399"/>
    <w:rsid w:val="000A1742"/>
    <w:rsid w:val="000A2105"/>
    <w:rsid w:val="000A3E7E"/>
    <w:rsid w:val="000B00FB"/>
    <w:rsid w:val="000B09B9"/>
    <w:rsid w:val="000B1774"/>
    <w:rsid w:val="000B254C"/>
    <w:rsid w:val="000B3C88"/>
    <w:rsid w:val="000B5707"/>
    <w:rsid w:val="000B63CB"/>
    <w:rsid w:val="000B681C"/>
    <w:rsid w:val="000C09D6"/>
    <w:rsid w:val="000C13CF"/>
    <w:rsid w:val="000C2143"/>
    <w:rsid w:val="000C3813"/>
    <w:rsid w:val="000C44C9"/>
    <w:rsid w:val="000C66AF"/>
    <w:rsid w:val="000D2D2A"/>
    <w:rsid w:val="000D41A9"/>
    <w:rsid w:val="000E01AA"/>
    <w:rsid w:val="000E0384"/>
    <w:rsid w:val="000E0C8F"/>
    <w:rsid w:val="000E0E37"/>
    <w:rsid w:val="000E108B"/>
    <w:rsid w:val="000E1693"/>
    <w:rsid w:val="000E1EB8"/>
    <w:rsid w:val="000E5199"/>
    <w:rsid w:val="000E5ED0"/>
    <w:rsid w:val="000F154C"/>
    <w:rsid w:val="000F2013"/>
    <w:rsid w:val="000F2C95"/>
    <w:rsid w:val="000F30C7"/>
    <w:rsid w:val="000F4091"/>
    <w:rsid w:val="000F5F37"/>
    <w:rsid w:val="000F66A3"/>
    <w:rsid w:val="000F70E1"/>
    <w:rsid w:val="000F7AD4"/>
    <w:rsid w:val="0010095B"/>
    <w:rsid w:val="00104EF1"/>
    <w:rsid w:val="001078AA"/>
    <w:rsid w:val="00113B38"/>
    <w:rsid w:val="001142DF"/>
    <w:rsid w:val="001145E5"/>
    <w:rsid w:val="0011484F"/>
    <w:rsid w:val="00115355"/>
    <w:rsid w:val="00115496"/>
    <w:rsid w:val="001154CD"/>
    <w:rsid w:val="00120166"/>
    <w:rsid w:val="00120E94"/>
    <w:rsid w:val="00122B79"/>
    <w:rsid w:val="00124423"/>
    <w:rsid w:val="00127C0C"/>
    <w:rsid w:val="0013254F"/>
    <w:rsid w:val="00133625"/>
    <w:rsid w:val="0013644B"/>
    <w:rsid w:val="0014255A"/>
    <w:rsid w:val="00143174"/>
    <w:rsid w:val="0014573A"/>
    <w:rsid w:val="0015182E"/>
    <w:rsid w:val="00151F12"/>
    <w:rsid w:val="00155E22"/>
    <w:rsid w:val="00162720"/>
    <w:rsid w:val="00163BC2"/>
    <w:rsid w:val="00172963"/>
    <w:rsid w:val="001763B7"/>
    <w:rsid w:val="001823E5"/>
    <w:rsid w:val="00185A83"/>
    <w:rsid w:val="001877DF"/>
    <w:rsid w:val="001927FE"/>
    <w:rsid w:val="00193021"/>
    <w:rsid w:val="00193389"/>
    <w:rsid w:val="001944F9"/>
    <w:rsid w:val="001A1272"/>
    <w:rsid w:val="001A307C"/>
    <w:rsid w:val="001A5865"/>
    <w:rsid w:val="001A5FB3"/>
    <w:rsid w:val="001B0B18"/>
    <w:rsid w:val="001B15B5"/>
    <w:rsid w:val="001B4E71"/>
    <w:rsid w:val="001B5FF5"/>
    <w:rsid w:val="001B65FA"/>
    <w:rsid w:val="001C044A"/>
    <w:rsid w:val="001C49C3"/>
    <w:rsid w:val="001D2940"/>
    <w:rsid w:val="001D3FC6"/>
    <w:rsid w:val="001D6B07"/>
    <w:rsid w:val="001E00CF"/>
    <w:rsid w:val="001E14E5"/>
    <w:rsid w:val="001E3016"/>
    <w:rsid w:val="001E561D"/>
    <w:rsid w:val="001F1088"/>
    <w:rsid w:val="001F1C31"/>
    <w:rsid w:val="001F4DB2"/>
    <w:rsid w:val="002000C1"/>
    <w:rsid w:val="002026A6"/>
    <w:rsid w:val="00207637"/>
    <w:rsid w:val="00211122"/>
    <w:rsid w:val="0021358E"/>
    <w:rsid w:val="00216A72"/>
    <w:rsid w:val="00216F5B"/>
    <w:rsid w:val="00222BCA"/>
    <w:rsid w:val="00222C37"/>
    <w:rsid w:val="00225B55"/>
    <w:rsid w:val="00225CC2"/>
    <w:rsid w:val="0022769B"/>
    <w:rsid w:val="00230235"/>
    <w:rsid w:val="002319D5"/>
    <w:rsid w:val="002357AE"/>
    <w:rsid w:val="0024054A"/>
    <w:rsid w:val="00240B77"/>
    <w:rsid w:val="00241EF0"/>
    <w:rsid w:val="00244C7E"/>
    <w:rsid w:val="002452C4"/>
    <w:rsid w:val="00247688"/>
    <w:rsid w:val="0025089D"/>
    <w:rsid w:val="002509F5"/>
    <w:rsid w:val="00252E8D"/>
    <w:rsid w:val="002554DA"/>
    <w:rsid w:val="0025703C"/>
    <w:rsid w:val="00260027"/>
    <w:rsid w:val="00261C73"/>
    <w:rsid w:val="00270469"/>
    <w:rsid w:val="002718AF"/>
    <w:rsid w:val="00273B11"/>
    <w:rsid w:val="00274958"/>
    <w:rsid w:val="00276CB2"/>
    <w:rsid w:val="00280812"/>
    <w:rsid w:val="00281E3C"/>
    <w:rsid w:val="0028436E"/>
    <w:rsid w:val="002852D5"/>
    <w:rsid w:val="0028534B"/>
    <w:rsid w:val="00292E5B"/>
    <w:rsid w:val="002A034E"/>
    <w:rsid w:val="002A065F"/>
    <w:rsid w:val="002A1D4A"/>
    <w:rsid w:val="002A45C9"/>
    <w:rsid w:val="002A6416"/>
    <w:rsid w:val="002A6899"/>
    <w:rsid w:val="002A6989"/>
    <w:rsid w:val="002A7C34"/>
    <w:rsid w:val="002B00BD"/>
    <w:rsid w:val="002C7802"/>
    <w:rsid w:val="002C7D45"/>
    <w:rsid w:val="002D138B"/>
    <w:rsid w:val="002D14F8"/>
    <w:rsid w:val="002D4F12"/>
    <w:rsid w:val="002D6C9B"/>
    <w:rsid w:val="002E14F0"/>
    <w:rsid w:val="002E24F2"/>
    <w:rsid w:val="002E2C79"/>
    <w:rsid w:val="002E45A7"/>
    <w:rsid w:val="002F14ED"/>
    <w:rsid w:val="002F297D"/>
    <w:rsid w:val="002F298B"/>
    <w:rsid w:val="002F7D6B"/>
    <w:rsid w:val="0030345B"/>
    <w:rsid w:val="00305C1F"/>
    <w:rsid w:val="00313213"/>
    <w:rsid w:val="0031345A"/>
    <w:rsid w:val="00313762"/>
    <w:rsid w:val="00315AF1"/>
    <w:rsid w:val="003171C0"/>
    <w:rsid w:val="0032193C"/>
    <w:rsid w:val="003255F5"/>
    <w:rsid w:val="00325B8A"/>
    <w:rsid w:val="003265E1"/>
    <w:rsid w:val="00330847"/>
    <w:rsid w:val="00331B8B"/>
    <w:rsid w:val="00333564"/>
    <w:rsid w:val="00334854"/>
    <w:rsid w:val="00337047"/>
    <w:rsid w:val="003377FF"/>
    <w:rsid w:val="00340B1F"/>
    <w:rsid w:val="00347DFD"/>
    <w:rsid w:val="00351E90"/>
    <w:rsid w:val="00353E45"/>
    <w:rsid w:val="00354690"/>
    <w:rsid w:val="00354BA0"/>
    <w:rsid w:val="00363293"/>
    <w:rsid w:val="00364E8D"/>
    <w:rsid w:val="00367FD8"/>
    <w:rsid w:val="003702BF"/>
    <w:rsid w:val="00370D8F"/>
    <w:rsid w:val="00371E72"/>
    <w:rsid w:val="00375D1F"/>
    <w:rsid w:val="003770E6"/>
    <w:rsid w:val="003803ED"/>
    <w:rsid w:val="003809BD"/>
    <w:rsid w:val="00382D88"/>
    <w:rsid w:val="00390450"/>
    <w:rsid w:val="0039295E"/>
    <w:rsid w:val="00393AB8"/>
    <w:rsid w:val="00395AA3"/>
    <w:rsid w:val="003A2496"/>
    <w:rsid w:val="003A2E93"/>
    <w:rsid w:val="003A50E5"/>
    <w:rsid w:val="003A6641"/>
    <w:rsid w:val="003B3CE0"/>
    <w:rsid w:val="003B6C3B"/>
    <w:rsid w:val="003C05D9"/>
    <w:rsid w:val="003D3AC1"/>
    <w:rsid w:val="003D3EA5"/>
    <w:rsid w:val="003D5AE7"/>
    <w:rsid w:val="003E001A"/>
    <w:rsid w:val="003E12FB"/>
    <w:rsid w:val="003E182D"/>
    <w:rsid w:val="003E28A6"/>
    <w:rsid w:val="003E5104"/>
    <w:rsid w:val="003E5212"/>
    <w:rsid w:val="003E68DA"/>
    <w:rsid w:val="003F4D96"/>
    <w:rsid w:val="003F536A"/>
    <w:rsid w:val="003F68F5"/>
    <w:rsid w:val="003F719F"/>
    <w:rsid w:val="003F7221"/>
    <w:rsid w:val="00402AD4"/>
    <w:rsid w:val="0040479F"/>
    <w:rsid w:val="004109FA"/>
    <w:rsid w:val="00415F24"/>
    <w:rsid w:val="00416FB1"/>
    <w:rsid w:val="004228E8"/>
    <w:rsid w:val="00425CB2"/>
    <w:rsid w:val="004264A1"/>
    <w:rsid w:val="004310E0"/>
    <w:rsid w:val="00431F5C"/>
    <w:rsid w:val="004337F1"/>
    <w:rsid w:val="0043414A"/>
    <w:rsid w:val="004344C1"/>
    <w:rsid w:val="004416B4"/>
    <w:rsid w:val="00442875"/>
    <w:rsid w:val="00450EB5"/>
    <w:rsid w:val="00454EED"/>
    <w:rsid w:val="004564EC"/>
    <w:rsid w:val="00457112"/>
    <w:rsid w:val="00460C15"/>
    <w:rsid w:val="00462D77"/>
    <w:rsid w:val="0046369C"/>
    <w:rsid w:val="0046565C"/>
    <w:rsid w:val="004664DD"/>
    <w:rsid w:val="00473687"/>
    <w:rsid w:val="0047625F"/>
    <w:rsid w:val="00476BF9"/>
    <w:rsid w:val="00476F2C"/>
    <w:rsid w:val="00477F0B"/>
    <w:rsid w:val="00480A86"/>
    <w:rsid w:val="00483D69"/>
    <w:rsid w:val="004841AB"/>
    <w:rsid w:val="00485EE2"/>
    <w:rsid w:val="0048744D"/>
    <w:rsid w:val="00491668"/>
    <w:rsid w:val="00494BFE"/>
    <w:rsid w:val="004A226A"/>
    <w:rsid w:val="004A23FA"/>
    <w:rsid w:val="004A3962"/>
    <w:rsid w:val="004A39BA"/>
    <w:rsid w:val="004A4D56"/>
    <w:rsid w:val="004A611D"/>
    <w:rsid w:val="004A6D07"/>
    <w:rsid w:val="004B08D0"/>
    <w:rsid w:val="004B10F9"/>
    <w:rsid w:val="004B3BA4"/>
    <w:rsid w:val="004B4047"/>
    <w:rsid w:val="004B57D7"/>
    <w:rsid w:val="004B7BBB"/>
    <w:rsid w:val="004C147E"/>
    <w:rsid w:val="004C1B01"/>
    <w:rsid w:val="004C3C02"/>
    <w:rsid w:val="004C7B51"/>
    <w:rsid w:val="004D0365"/>
    <w:rsid w:val="004D110A"/>
    <w:rsid w:val="004D131F"/>
    <w:rsid w:val="004D1C35"/>
    <w:rsid w:val="004D2026"/>
    <w:rsid w:val="004D2980"/>
    <w:rsid w:val="004D2D30"/>
    <w:rsid w:val="004D35F9"/>
    <w:rsid w:val="004D7569"/>
    <w:rsid w:val="004D7870"/>
    <w:rsid w:val="004E3022"/>
    <w:rsid w:val="004E3A54"/>
    <w:rsid w:val="004E758F"/>
    <w:rsid w:val="004E77CD"/>
    <w:rsid w:val="004E7B0C"/>
    <w:rsid w:val="004F0F7F"/>
    <w:rsid w:val="004F1EFD"/>
    <w:rsid w:val="004F3492"/>
    <w:rsid w:val="004F3FCD"/>
    <w:rsid w:val="004F5605"/>
    <w:rsid w:val="004F62DA"/>
    <w:rsid w:val="004F6AF2"/>
    <w:rsid w:val="004F742E"/>
    <w:rsid w:val="004F7DB7"/>
    <w:rsid w:val="00500557"/>
    <w:rsid w:val="00507887"/>
    <w:rsid w:val="00511CAE"/>
    <w:rsid w:val="00515324"/>
    <w:rsid w:val="00515ECE"/>
    <w:rsid w:val="00516CD0"/>
    <w:rsid w:val="005225BB"/>
    <w:rsid w:val="005235B5"/>
    <w:rsid w:val="0052360E"/>
    <w:rsid w:val="00525D3D"/>
    <w:rsid w:val="00526B6A"/>
    <w:rsid w:val="00527DBB"/>
    <w:rsid w:val="00532CCE"/>
    <w:rsid w:val="00534CFD"/>
    <w:rsid w:val="005359AA"/>
    <w:rsid w:val="0053666D"/>
    <w:rsid w:val="00536FAC"/>
    <w:rsid w:val="00547EBD"/>
    <w:rsid w:val="00550E69"/>
    <w:rsid w:val="0055239F"/>
    <w:rsid w:val="00556F42"/>
    <w:rsid w:val="00560D83"/>
    <w:rsid w:val="005639CF"/>
    <w:rsid w:val="0056461B"/>
    <w:rsid w:val="005717F9"/>
    <w:rsid w:val="00573009"/>
    <w:rsid w:val="005773E3"/>
    <w:rsid w:val="00577EA8"/>
    <w:rsid w:val="00580161"/>
    <w:rsid w:val="00581608"/>
    <w:rsid w:val="0058190A"/>
    <w:rsid w:val="0059051E"/>
    <w:rsid w:val="00591C6C"/>
    <w:rsid w:val="00592002"/>
    <w:rsid w:val="00592DBF"/>
    <w:rsid w:val="00594FBA"/>
    <w:rsid w:val="00596030"/>
    <w:rsid w:val="005A0E10"/>
    <w:rsid w:val="005A5E14"/>
    <w:rsid w:val="005B06A4"/>
    <w:rsid w:val="005B1568"/>
    <w:rsid w:val="005B2789"/>
    <w:rsid w:val="005B4329"/>
    <w:rsid w:val="005B712F"/>
    <w:rsid w:val="005B7A72"/>
    <w:rsid w:val="005C0D12"/>
    <w:rsid w:val="005C2879"/>
    <w:rsid w:val="005C7681"/>
    <w:rsid w:val="005D63D1"/>
    <w:rsid w:val="005D6C12"/>
    <w:rsid w:val="005D6EB6"/>
    <w:rsid w:val="005D7975"/>
    <w:rsid w:val="005E19D2"/>
    <w:rsid w:val="005E6DBE"/>
    <w:rsid w:val="005F191B"/>
    <w:rsid w:val="005F5043"/>
    <w:rsid w:val="005F7AC9"/>
    <w:rsid w:val="006010B4"/>
    <w:rsid w:val="00601556"/>
    <w:rsid w:val="0060297B"/>
    <w:rsid w:val="00604A9F"/>
    <w:rsid w:val="00610510"/>
    <w:rsid w:val="006120DB"/>
    <w:rsid w:val="00612364"/>
    <w:rsid w:val="00613C97"/>
    <w:rsid w:val="0061497E"/>
    <w:rsid w:val="00616C81"/>
    <w:rsid w:val="0062096A"/>
    <w:rsid w:val="006254F0"/>
    <w:rsid w:val="00625504"/>
    <w:rsid w:val="00626C64"/>
    <w:rsid w:val="00626E27"/>
    <w:rsid w:val="00627532"/>
    <w:rsid w:val="006334CC"/>
    <w:rsid w:val="00642AF9"/>
    <w:rsid w:val="006456E6"/>
    <w:rsid w:val="00647922"/>
    <w:rsid w:val="00651DA1"/>
    <w:rsid w:val="00653793"/>
    <w:rsid w:val="0066062A"/>
    <w:rsid w:val="0066718A"/>
    <w:rsid w:val="006746AC"/>
    <w:rsid w:val="00680DCF"/>
    <w:rsid w:val="00682592"/>
    <w:rsid w:val="006829FB"/>
    <w:rsid w:val="006833D9"/>
    <w:rsid w:val="00683E46"/>
    <w:rsid w:val="00683F25"/>
    <w:rsid w:val="006846A9"/>
    <w:rsid w:val="006905EC"/>
    <w:rsid w:val="00690AED"/>
    <w:rsid w:val="00690BBE"/>
    <w:rsid w:val="0069180F"/>
    <w:rsid w:val="0069227C"/>
    <w:rsid w:val="006945CC"/>
    <w:rsid w:val="006A7E32"/>
    <w:rsid w:val="006B040B"/>
    <w:rsid w:val="006B1EED"/>
    <w:rsid w:val="006B4AA4"/>
    <w:rsid w:val="006B4FEC"/>
    <w:rsid w:val="006B5E37"/>
    <w:rsid w:val="006C1B45"/>
    <w:rsid w:val="006C1E89"/>
    <w:rsid w:val="006C267D"/>
    <w:rsid w:val="006C3FAF"/>
    <w:rsid w:val="006D23F6"/>
    <w:rsid w:val="006D5064"/>
    <w:rsid w:val="006D689E"/>
    <w:rsid w:val="006E30AD"/>
    <w:rsid w:val="006E68DE"/>
    <w:rsid w:val="006F19C9"/>
    <w:rsid w:val="006F2D54"/>
    <w:rsid w:val="006F55F8"/>
    <w:rsid w:val="006F5B8A"/>
    <w:rsid w:val="0070169D"/>
    <w:rsid w:val="00701D69"/>
    <w:rsid w:val="0070455F"/>
    <w:rsid w:val="007074FE"/>
    <w:rsid w:val="00710DB0"/>
    <w:rsid w:val="00712228"/>
    <w:rsid w:val="00713A4B"/>
    <w:rsid w:val="00715188"/>
    <w:rsid w:val="007157F7"/>
    <w:rsid w:val="00716A59"/>
    <w:rsid w:val="007218CD"/>
    <w:rsid w:val="0072293E"/>
    <w:rsid w:val="00724297"/>
    <w:rsid w:val="00726960"/>
    <w:rsid w:val="00730504"/>
    <w:rsid w:val="007370E2"/>
    <w:rsid w:val="00740D15"/>
    <w:rsid w:val="007471BF"/>
    <w:rsid w:val="00751B8F"/>
    <w:rsid w:val="00751DC7"/>
    <w:rsid w:val="007520AA"/>
    <w:rsid w:val="007522C9"/>
    <w:rsid w:val="007533C2"/>
    <w:rsid w:val="00753E01"/>
    <w:rsid w:val="00754954"/>
    <w:rsid w:val="007554BF"/>
    <w:rsid w:val="00756E59"/>
    <w:rsid w:val="007574E4"/>
    <w:rsid w:val="0075754A"/>
    <w:rsid w:val="0076289C"/>
    <w:rsid w:val="00763CA9"/>
    <w:rsid w:val="0076561F"/>
    <w:rsid w:val="007659A0"/>
    <w:rsid w:val="007700AA"/>
    <w:rsid w:val="007739F7"/>
    <w:rsid w:val="007765A0"/>
    <w:rsid w:val="0078035F"/>
    <w:rsid w:val="00781184"/>
    <w:rsid w:val="00782BD1"/>
    <w:rsid w:val="00782E08"/>
    <w:rsid w:val="007844B7"/>
    <w:rsid w:val="0078615A"/>
    <w:rsid w:val="00790609"/>
    <w:rsid w:val="00792E97"/>
    <w:rsid w:val="00794F99"/>
    <w:rsid w:val="00795F41"/>
    <w:rsid w:val="00796739"/>
    <w:rsid w:val="007A3918"/>
    <w:rsid w:val="007A7977"/>
    <w:rsid w:val="007B1770"/>
    <w:rsid w:val="007B2018"/>
    <w:rsid w:val="007B64BE"/>
    <w:rsid w:val="007B6C23"/>
    <w:rsid w:val="007C0131"/>
    <w:rsid w:val="007C0545"/>
    <w:rsid w:val="007C2607"/>
    <w:rsid w:val="007C7E03"/>
    <w:rsid w:val="007D06E2"/>
    <w:rsid w:val="007D2140"/>
    <w:rsid w:val="007D5CAD"/>
    <w:rsid w:val="007D61DF"/>
    <w:rsid w:val="007E2F6E"/>
    <w:rsid w:val="007E7698"/>
    <w:rsid w:val="007F18E8"/>
    <w:rsid w:val="007F4EBB"/>
    <w:rsid w:val="007F6508"/>
    <w:rsid w:val="007F65ED"/>
    <w:rsid w:val="007F7C7C"/>
    <w:rsid w:val="007F7EA4"/>
    <w:rsid w:val="00803D22"/>
    <w:rsid w:val="00806B45"/>
    <w:rsid w:val="008176BF"/>
    <w:rsid w:val="0082069E"/>
    <w:rsid w:val="00820B6A"/>
    <w:rsid w:val="00825E5E"/>
    <w:rsid w:val="00826A16"/>
    <w:rsid w:val="0082797E"/>
    <w:rsid w:val="008306AC"/>
    <w:rsid w:val="008307E6"/>
    <w:rsid w:val="00835200"/>
    <w:rsid w:val="00835569"/>
    <w:rsid w:val="00835A77"/>
    <w:rsid w:val="00836932"/>
    <w:rsid w:val="008412A1"/>
    <w:rsid w:val="0084395D"/>
    <w:rsid w:val="00845552"/>
    <w:rsid w:val="00845A75"/>
    <w:rsid w:val="008466B7"/>
    <w:rsid w:val="00851C77"/>
    <w:rsid w:val="008544AD"/>
    <w:rsid w:val="00854CEF"/>
    <w:rsid w:val="00857B1B"/>
    <w:rsid w:val="0086191D"/>
    <w:rsid w:val="008623BE"/>
    <w:rsid w:val="00862DDA"/>
    <w:rsid w:val="008659A3"/>
    <w:rsid w:val="00865E07"/>
    <w:rsid w:val="00866760"/>
    <w:rsid w:val="00870950"/>
    <w:rsid w:val="00872A8C"/>
    <w:rsid w:val="00874FE4"/>
    <w:rsid w:val="00876528"/>
    <w:rsid w:val="008809E6"/>
    <w:rsid w:val="0088146D"/>
    <w:rsid w:val="0088191B"/>
    <w:rsid w:val="0088223F"/>
    <w:rsid w:val="00885700"/>
    <w:rsid w:val="00885AF7"/>
    <w:rsid w:val="00887014"/>
    <w:rsid w:val="0089356D"/>
    <w:rsid w:val="00894A19"/>
    <w:rsid w:val="008A21B3"/>
    <w:rsid w:val="008A597F"/>
    <w:rsid w:val="008A5CEF"/>
    <w:rsid w:val="008A67E4"/>
    <w:rsid w:val="008A7BCD"/>
    <w:rsid w:val="008B19D3"/>
    <w:rsid w:val="008B2FCD"/>
    <w:rsid w:val="008B61FD"/>
    <w:rsid w:val="008C17D0"/>
    <w:rsid w:val="008C26DD"/>
    <w:rsid w:val="008C2B30"/>
    <w:rsid w:val="008C2FC0"/>
    <w:rsid w:val="008C48C5"/>
    <w:rsid w:val="008C5F3B"/>
    <w:rsid w:val="008C6111"/>
    <w:rsid w:val="008C7B00"/>
    <w:rsid w:val="008D27C7"/>
    <w:rsid w:val="008D347F"/>
    <w:rsid w:val="008D6C8D"/>
    <w:rsid w:val="008E0DD0"/>
    <w:rsid w:val="008E30E9"/>
    <w:rsid w:val="008E3C2D"/>
    <w:rsid w:val="008E5103"/>
    <w:rsid w:val="008E5952"/>
    <w:rsid w:val="008E6BA3"/>
    <w:rsid w:val="008E79D7"/>
    <w:rsid w:val="008F09A7"/>
    <w:rsid w:val="008F40D0"/>
    <w:rsid w:val="008F713E"/>
    <w:rsid w:val="008F717A"/>
    <w:rsid w:val="0090464D"/>
    <w:rsid w:val="009046C2"/>
    <w:rsid w:val="00906854"/>
    <w:rsid w:val="00907CE8"/>
    <w:rsid w:val="009134F9"/>
    <w:rsid w:val="00915D25"/>
    <w:rsid w:val="0092087B"/>
    <w:rsid w:val="009228B3"/>
    <w:rsid w:val="0092580D"/>
    <w:rsid w:val="009273AF"/>
    <w:rsid w:val="00927523"/>
    <w:rsid w:val="009348F6"/>
    <w:rsid w:val="00937109"/>
    <w:rsid w:val="00940962"/>
    <w:rsid w:val="00941C80"/>
    <w:rsid w:val="00943276"/>
    <w:rsid w:val="009444D1"/>
    <w:rsid w:val="009523CC"/>
    <w:rsid w:val="00952CDD"/>
    <w:rsid w:val="009535FA"/>
    <w:rsid w:val="00954E45"/>
    <w:rsid w:val="0095745B"/>
    <w:rsid w:val="00962E46"/>
    <w:rsid w:val="009644B7"/>
    <w:rsid w:val="00967EAB"/>
    <w:rsid w:val="00972580"/>
    <w:rsid w:val="0097361C"/>
    <w:rsid w:val="009738F9"/>
    <w:rsid w:val="00973AF6"/>
    <w:rsid w:val="00974243"/>
    <w:rsid w:val="009755C3"/>
    <w:rsid w:val="00977915"/>
    <w:rsid w:val="00982FAD"/>
    <w:rsid w:val="00983E02"/>
    <w:rsid w:val="0098479D"/>
    <w:rsid w:val="009867B8"/>
    <w:rsid w:val="00991119"/>
    <w:rsid w:val="0099376A"/>
    <w:rsid w:val="00996660"/>
    <w:rsid w:val="00997AC3"/>
    <w:rsid w:val="009A116F"/>
    <w:rsid w:val="009A1C5E"/>
    <w:rsid w:val="009A76F1"/>
    <w:rsid w:val="009B270B"/>
    <w:rsid w:val="009B341B"/>
    <w:rsid w:val="009B532F"/>
    <w:rsid w:val="009B6AF3"/>
    <w:rsid w:val="009C40A1"/>
    <w:rsid w:val="009C74C7"/>
    <w:rsid w:val="009D26F2"/>
    <w:rsid w:val="009D5D2F"/>
    <w:rsid w:val="009E1597"/>
    <w:rsid w:val="009E386B"/>
    <w:rsid w:val="009E3A9E"/>
    <w:rsid w:val="009E50A0"/>
    <w:rsid w:val="009E7969"/>
    <w:rsid w:val="009E7D1A"/>
    <w:rsid w:val="00A07782"/>
    <w:rsid w:val="00A100CE"/>
    <w:rsid w:val="00A10CE8"/>
    <w:rsid w:val="00A111B0"/>
    <w:rsid w:val="00A11BDC"/>
    <w:rsid w:val="00A11E3D"/>
    <w:rsid w:val="00A136E6"/>
    <w:rsid w:val="00A14BB8"/>
    <w:rsid w:val="00A172E8"/>
    <w:rsid w:val="00A22B15"/>
    <w:rsid w:val="00A2512D"/>
    <w:rsid w:val="00A25F97"/>
    <w:rsid w:val="00A26874"/>
    <w:rsid w:val="00A302FE"/>
    <w:rsid w:val="00A308AB"/>
    <w:rsid w:val="00A32193"/>
    <w:rsid w:val="00A32DEA"/>
    <w:rsid w:val="00A372C8"/>
    <w:rsid w:val="00A37733"/>
    <w:rsid w:val="00A4195D"/>
    <w:rsid w:val="00A423E4"/>
    <w:rsid w:val="00A4662C"/>
    <w:rsid w:val="00A4797D"/>
    <w:rsid w:val="00A54D1C"/>
    <w:rsid w:val="00A55044"/>
    <w:rsid w:val="00A55C06"/>
    <w:rsid w:val="00A652F3"/>
    <w:rsid w:val="00A6757A"/>
    <w:rsid w:val="00A705F4"/>
    <w:rsid w:val="00A73B8E"/>
    <w:rsid w:val="00A77442"/>
    <w:rsid w:val="00A7759B"/>
    <w:rsid w:val="00A80087"/>
    <w:rsid w:val="00A82016"/>
    <w:rsid w:val="00A90A8B"/>
    <w:rsid w:val="00A94DE9"/>
    <w:rsid w:val="00A95C30"/>
    <w:rsid w:val="00A95FCC"/>
    <w:rsid w:val="00A97804"/>
    <w:rsid w:val="00A978C0"/>
    <w:rsid w:val="00AA08A1"/>
    <w:rsid w:val="00AA0B06"/>
    <w:rsid w:val="00AA22AE"/>
    <w:rsid w:val="00AA2D40"/>
    <w:rsid w:val="00AA35D7"/>
    <w:rsid w:val="00AA5907"/>
    <w:rsid w:val="00AA596E"/>
    <w:rsid w:val="00AA5EA7"/>
    <w:rsid w:val="00AA79F3"/>
    <w:rsid w:val="00AB1EC5"/>
    <w:rsid w:val="00AB1F5B"/>
    <w:rsid w:val="00AB4135"/>
    <w:rsid w:val="00AB588D"/>
    <w:rsid w:val="00AC0403"/>
    <w:rsid w:val="00AC2709"/>
    <w:rsid w:val="00AC32E6"/>
    <w:rsid w:val="00AC532D"/>
    <w:rsid w:val="00AC60E3"/>
    <w:rsid w:val="00AC7313"/>
    <w:rsid w:val="00AD229F"/>
    <w:rsid w:val="00AD48F3"/>
    <w:rsid w:val="00AD4E02"/>
    <w:rsid w:val="00AD5E50"/>
    <w:rsid w:val="00AD5F7A"/>
    <w:rsid w:val="00AD684B"/>
    <w:rsid w:val="00AE167C"/>
    <w:rsid w:val="00AE3321"/>
    <w:rsid w:val="00AE481C"/>
    <w:rsid w:val="00AF456E"/>
    <w:rsid w:val="00AF5CB3"/>
    <w:rsid w:val="00AF6499"/>
    <w:rsid w:val="00AF7B30"/>
    <w:rsid w:val="00B06FB2"/>
    <w:rsid w:val="00B07E37"/>
    <w:rsid w:val="00B15B92"/>
    <w:rsid w:val="00B16D54"/>
    <w:rsid w:val="00B17049"/>
    <w:rsid w:val="00B237E0"/>
    <w:rsid w:val="00B2534F"/>
    <w:rsid w:val="00B25A10"/>
    <w:rsid w:val="00B27117"/>
    <w:rsid w:val="00B310C8"/>
    <w:rsid w:val="00B447BE"/>
    <w:rsid w:val="00B45828"/>
    <w:rsid w:val="00B47925"/>
    <w:rsid w:val="00B502D5"/>
    <w:rsid w:val="00B50A9E"/>
    <w:rsid w:val="00B53E77"/>
    <w:rsid w:val="00B55E8D"/>
    <w:rsid w:val="00B61E2E"/>
    <w:rsid w:val="00B62570"/>
    <w:rsid w:val="00B64FF8"/>
    <w:rsid w:val="00B704DD"/>
    <w:rsid w:val="00B70BD6"/>
    <w:rsid w:val="00B73AE9"/>
    <w:rsid w:val="00B75EF1"/>
    <w:rsid w:val="00B7771E"/>
    <w:rsid w:val="00B77A66"/>
    <w:rsid w:val="00B80581"/>
    <w:rsid w:val="00B81019"/>
    <w:rsid w:val="00B810B0"/>
    <w:rsid w:val="00B825DE"/>
    <w:rsid w:val="00B87212"/>
    <w:rsid w:val="00B90F3C"/>
    <w:rsid w:val="00B935E6"/>
    <w:rsid w:val="00BA360A"/>
    <w:rsid w:val="00BB3924"/>
    <w:rsid w:val="00BB7486"/>
    <w:rsid w:val="00BC069D"/>
    <w:rsid w:val="00BC14E9"/>
    <w:rsid w:val="00BC5BE4"/>
    <w:rsid w:val="00BD5621"/>
    <w:rsid w:val="00BD6BE7"/>
    <w:rsid w:val="00BD75EA"/>
    <w:rsid w:val="00BE57B8"/>
    <w:rsid w:val="00BF1563"/>
    <w:rsid w:val="00BF25FA"/>
    <w:rsid w:val="00BF2638"/>
    <w:rsid w:val="00BF5D01"/>
    <w:rsid w:val="00BF6E23"/>
    <w:rsid w:val="00BF739B"/>
    <w:rsid w:val="00C00FDA"/>
    <w:rsid w:val="00C04339"/>
    <w:rsid w:val="00C051A6"/>
    <w:rsid w:val="00C07F9A"/>
    <w:rsid w:val="00C14951"/>
    <w:rsid w:val="00C14A36"/>
    <w:rsid w:val="00C16B04"/>
    <w:rsid w:val="00C16CFA"/>
    <w:rsid w:val="00C20FAF"/>
    <w:rsid w:val="00C22E15"/>
    <w:rsid w:val="00C23B07"/>
    <w:rsid w:val="00C33218"/>
    <w:rsid w:val="00C352FD"/>
    <w:rsid w:val="00C36E43"/>
    <w:rsid w:val="00C3730E"/>
    <w:rsid w:val="00C37A36"/>
    <w:rsid w:val="00C40CF1"/>
    <w:rsid w:val="00C427DB"/>
    <w:rsid w:val="00C43AA2"/>
    <w:rsid w:val="00C44921"/>
    <w:rsid w:val="00C5255F"/>
    <w:rsid w:val="00C5563D"/>
    <w:rsid w:val="00C60B8B"/>
    <w:rsid w:val="00C62057"/>
    <w:rsid w:val="00C7018E"/>
    <w:rsid w:val="00C71BF4"/>
    <w:rsid w:val="00C74D40"/>
    <w:rsid w:val="00C820E8"/>
    <w:rsid w:val="00C85C91"/>
    <w:rsid w:val="00C870EA"/>
    <w:rsid w:val="00C9118F"/>
    <w:rsid w:val="00C91363"/>
    <w:rsid w:val="00C96C9A"/>
    <w:rsid w:val="00CA032C"/>
    <w:rsid w:val="00CA1934"/>
    <w:rsid w:val="00CA5865"/>
    <w:rsid w:val="00CA6D46"/>
    <w:rsid w:val="00CB4470"/>
    <w:rsid w:val="00CC3A91"/>
    <w:rsid w:val="00CC5034"/>
    <w:rsid w:val="00CC55C0"/>
    <w:rsid w:val="00CC6E2A"/>
    <w:rsid w:val="00CD31A0"/>
    <w:rsid w:val="00CD3374"/>
    <w:rsid w:val="00CD4309"/>
    <w:rsid w:val="00CD645D"/>
    <w:rsid w:val="00CE0960"/>
    <w:rsid w:val="00CE3208"/>
    <w:rsid w:val="00CF0F23"/>
    <w:rsid w:val="00CF2819"/>
    <w:rsid w:val="00CF530E"/>
    <w:rsid w:val="00CF6664"/>
    <w:rsid w:val="00CF7620"/>
    <w:rsid w:val="00CF7FAC"/>
    <w:rsid w:val="00D01329"/>
    <w:rsid w:val="00D02074"/>
    <w:rsid w:val="00D02556"/>
    <w:rsid w:val="00D03CFC"/>
    <w:rsid w:val="00D04B9D"/>
    <w:rsid w:val="00D04C04"/>
    <w:rsid w:val="00D04FFB"/>
    <w:rsid w:val="00D05DB3"/>
    <w:rsid w:val="00D06F4C"/>
    <w:rsid w:val="00D10949"/>
    <w:rsid w:val="00D119E3"/>
    <w:rsid w:val="00D12C36"/>
    <w:rsid w:val="00D1406C"/>
    <w:rsid w:val="00D15E3B"/>
    <w:rsid w:val="00D1646B"/>
    <w:rsid w:val="00D23DC5"/>
    <w:rsid w:val="00D27498"/>
    <w:rsid w:val="00D31991"/>
    <w:rsid w:val="00D3289C"/>
    <w:rsid w:val="00D34CB2"/>
    <w:rsid w:val="00D35BED"/>
    <w:rsid w:val="00D366A4"/>
    <w:rsid w:val="00D4776A"/>
    <w:rsid w:val="00D51224"/>
    <w:rsid w:val="00D51892"/>
    <w:rsid w:val="00D51A55"/>
    <w:rsid w:val="00D55CEF"/>
    <w:rsid w:val="00D57963"/>
    <w:rsid w:val="00D57D10"/>
    <w:rsid w:val="00D60F62"/>
    <w:rsid w:val="00D62174"/>
    <w:rsid w:val="00D641F3"/>
    <w:rsid w:val="00D677BE"/>
    <w:rsid w:val="00D677CE"/>
    <w:rsid w:val="00D7052F"/>
    <w:rsid w:val="00D7140C"/>
    <w:rsid w:val="00D754A5"/>
    <w:rsid w:val="00D75586"/>
    <w:rsid w:val="00D808D6"/>
    <w:rsid w:val="00D80B36"/>
    <w:rsid w:val="00D84560"/>
    <w:rsid w:val="00D850AC"/>
    <w:rsid w:val="00D85E0C"/>
    <w:rsid w:val="00D90222"/>
    <w:rsid w:val="00D92AD2"/>
    <w:rsid w:val="00D92AFE"/>
    <w:rsid w:val="00D96E13"/>
    <w:rsid w:val="00D97F39"/>
    <w:rsid w:val="00DA0CA9"/>
    <w:rsid w:val="00DA62D1"/>
    <w:rsid w:val="00DA7724"/>
    <w:rsid w:val="00DB0268"/>
    <w:rsid w:val="00DB1012"/>
    <w:rsid w:val="00DB44C5"/>
    <w:rsid w:val="00DB7BDB"/>
    <w:rsid w:val="00DC3DE3"/>
    <w:rsid w:val="00DC41B9"/>
    <w:rsid w:val="00DD07D7"/>
    <w:rsid w:val="00DD0EAF"/>
    <w:rsid w:val="00DD1CCB"/>
    <w:rsid w:val="00DD6005"/>
    <w:rsid w:val="00DD733A"/>
    <w:rsid w:val="00DE0DE3"/>
    <w:rsid w:val="00DE1F14"/>
    <w:rsid w:val="00DE233A"/>
    <w:rsid w:val="00DE2728"/>
    <w:rsid w:val="00DE2A5A"/>
    <w:rsid w:val="00DF26D2"/>
    <w:rsid w:val="00DF308A"/>
    <w:rsid w:val="00DF37A9"/>
    <w:rsid w:val="00DF5A90"/>
    <w:rsid w:val="00DF680B"/>
    <w:rsid w:val="00DF6E24"/>
    <w:rsid w:val="00E0392A"/>
    <w:rsid w:val="00E10150"/>
    <w:rsid w:val="00E122AC"/>
    <w:rsid w:val="00E1352A"/>
    <w:rsid w:val="00E1597E"/>
    <w:rsid w:val="00E1705F"/>
    <w:rsid w:val="00E17BE0"/>
    <w:rsid w:val="00E25068"/>
    <w:rsid w:val="00E266C7"/>
    <w:rsid w:val="00E26A27"/>
    <w:rsid w:val="00E26BAB"/>
    <w:rsid w:val="00E3160A"/>
    <w:rsid w:val="00E353D0"/>
    <w:rsid w:val="00E40A96"/>
    <w:rsid w:val="00E42F09"/>
    <w:rsid w:val="00E43A0B"/>
    <w:rsid w:val="00E50182"/>
    <w:rsid w:val="00E5031D"/>
    <w:rsid w:val="00E51BCD"/>
    <w:rsid w:val="00E56EFC"/>
    <w:rsid w:val="00E57B01"/>
    <w:rsid w:val="00E61D51"/>
    <w:rsid w:val="00E6284F"/>
    <w:rsid w:val="00E63CAB"/>
    <w:rsid w:val="00E66CA9"/>
    <w:rsid w:val="00E73105"/>
    <w:rsid w:val="00E733A9"/>
    <w:rsid w:val="00E752B5"/>
    <w:rsid w:val="00E818BC"/>
    <w:rsid w:val="00E83940"/>
    <w:rsid w:val="00E9301B"/>
    <w:rsid w:val="00E94A78"/>
    <w:rsid w:val="00E965CE"/>
    <w:rsid w:val="00E96E22"/>
    <w:rsid w:val="00EA0C1D"/>
    <w:rsid w:val="00EA229A"/>
    <w:rsid w:val="00EA293F"/>
    <w:rsid w:val="00EA4579"/>
    <w:rsid w:val="00EB5328"/>
    <w:rsid w:val="00EB6F7C"/>
    <w:rsid w:val="00EC00B2"/>
    <w:rsid w:val="00EC2C8E"/>
    <w:rsid w:val="00EC3E0D"/>
    <w:rsid w:val="00EC561A"/>
    <w:rsid w:val="00EC7628"/>
    <w:rsid w:val="00ED05B3"/>
    <w:rsid w:val="00ED061D"/>
    <w:rsid w:val="00ED3177"/>
    <w:rsid w:val="00ED4211"/>
    <w:rsid w:val="00ED4364"/>
    <w:rsid w:val="00ED4A4E"/>
    <w:rsid w:val="00ED7EE8"/>
    <w:rsid w:val="00EE5E31"/>
    <w:rsid w:val="00EE6DDA"/>
    <w:rsid w:val="00EF4B74"/>
    <w:rsid w:val="00EF4E6B"/>
    <w:rsid w:val="00EF7FFA"/>
    <w:rsid w:val="00F00219"/>
    <w:rsid w:val="00F02625"/>
    <w:rsid w:val="00F04401"/>
    <w:rsid w:val="00F05F4E"/>
    <w:rsid w:val="00F06C79"/>
    <w:rsid w:val="00F10903"/>
    <w:rsid w:val="00F11198"/>
    <w:rsid w:val="00F120F9"/>
    <w:rsid w:val="00F157C0"/>
    <w:rsid w:val="00F15CFD"/>
    <w:rsid w:val="00F16D72"/>
    <w:rsid w:val="00F20F05"/>
    <w:rsid w:val="00F23B27"/>
    <w:rsid w:val="00F23CD8"/>
    <w:rsid w:val="00F26C73"/>
    <w:rsid w:val="00F2729A"/>
    <w:rsid w:val="00F2738C"/>
    <w:rsid w:val="00F27D35"/>
    <w:rsid w:val="00F31FDC"/>
    <w:rsid w:val="00F32797"/>
    <w:rsid w:val="00F36199"/>
    <w:rsid w:val="00F40FBB"/>
    <w:rsid w:val="00F41006"/>
    <w:rsid w:val="00F41A2E"/>
    <w:rsid w:val="00F41BF2"/>
    <w:rsid w:val="00F43153"/>
    <w:rsid w:val="00F43A34"/>
    <w:rsid w:val="00F44F57"/>
    <w:rsid w:val="00F47CE9"/>
    <w:rsid w:val="00F50E88"/>
    <w:rsid w:val="00F51E78"/>
    <w:rsid w:val="00F55003"/>
    <w:rsid w:val="00F55273"/>
    <w:rsid w:val="00F6021A"/>
    <w:rsid w:val="00F621AB"/>
    <w:rsid w:val="00F62D87"/>
    <w:rsid w:val="00F65E72"/>
    <w:rsid w:val="00F66E94"/>
    <w:rsid w:val="00F67AFF"/>
    <w:rsid w:val="00F73BD7"/>
    <w:rsid w:val="00F76015"/>
    <w:rsid w:val="00F76577"/>
    <w:rsid w:val="00F833BC"/>
    <w:rsid w:val="00F84C19"/>
    <w:rsid w:val="00F84D05"/>
    <w:rsid w:val="00F90300"/>
    <w:rsid w:val="00F9448F"/>
    <w:rsid w:val="00F951A6"/>
    <w:rsid w:val="00FA0954"/>
    <w:rsid w:val="00FA1068"/>
    <w:rsid w:val="00FA7007"/>
    <w:rsid w:val="00FA7D43"/>
    <w:rsid w:val="00FB4E47"/>
    <w:rsid w:val="00FB6467"/>
    <w:rsid w:val="00FB696A"/>
    <w:rsid w:val="00FB774F"/>
    <w:rsid w:val="00FC3F1F"/>
    <w:rsid w:val="00FC5D8C"/>
    <w:rsid w:val="00FC6B11"/>
    <w:rsid w:val="00FD242A"/>
    <w:rsid w:val="00FD3919"/>
    <w:rsid w:val="00FD4928"/>
    <w:rsid w:val="00FD57E0"/>
    <w:rsid w:val="00FE17BF"/>
    <w:rsid w:val="00FE1823"/>
    <w:rsid w:val="00FE2F6A"/>
    <w:rsid w:val="00FE435B"/>
    <w:rsid w:val="00FE550A"/>
    <w:rsid w:val="00FE59BE"/>
    <w:rsid w:val="00FE59C4"/>
    <w:rsid w:val="00FE6D5A"/>
    <w:rsid w:val="00FF0BBA"/>
    <w:rsid w:val="00FF1569"/>
    <w:rsid w:val="00FF1B99"/>
    <w:rsid w:val="00FF1C05"/>
    <w:rsid w:val="00FF3598"/>
    <w:rsid w:val="00FF44EE"/>
    <w:rsid w:val="00FF6BE9"/>
    <w:rsid w:val="00FF6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CC7BA"/>
  <w15:docId w15:val="{4EE2E201-887C-4315-BE34-350EC0D6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3B"/>
    <w:pPr>
      <w:spacing w:after="160" w:line="259" w:lineRule="auto"/>
    </w:pPr>
    <w:rPr>
      <w:rFonts w:eastAsiaTheme="minorEastAsia"/>
      <w:lang w:eastAsia="fr-FR"/>
    </w:rPr>
  </w:style>
  <w:style w:type="paragraph" w:styleId="Titre1">
    <w:name w:val="heading 1"/>
    <w:aliases w:val="TITRE"/>
    <w:basedOn w:val="Normal"/>
    <w:next w:val="Normal"/>
    <w:link w:val="Titre1Car"/>
    <w:uiPriority w:val="1"/>
    <w:qFormat/>
    <w:rsid w:val="00CA1934"/>
    <w:pPr>
      <w:keepNext/>
      <w:keepLines/>
      <w:spacing w:before="480" w:after="0"/>
      <w:outlineLvl w:val="0"/>
    </w:pPr>
    <w:rPr>
      <w:rFonts w:asciiTheme="majorHAnsi" w:eastAsiaTheme="majorEastAsia" w:hAnsiTheme="majorHAnsi" w:cstheme="majorBidi"/>
      <w:b/>
      <w:bCs/>
      <w:color w:val="3D8225" w:themeColor="accent1" w:themeShade="BF"/>
      <w:sz w:val="28"/>
      <w:szCs w:val="28"/>
    </w:rPr>
  </w:style>
  <w:style w:type="paragraph" w:styleId="Titre2">
    <w:name w:val="heading 2"/>
    <w:aliases w:val="TITRE 2"/>
    <w:basedOn w:val="Normal"/>
    <w:next w:val="Normal"/>
    <w:link w:val="Titre2Car"/>
    <w:uiPriority w:val="2"/>
    <w:qFormat/>
    <w:rsid w:val="00CA1934"/>
    <w:pPr>
      <w:keepNext/>
      <w:spacing w:after="0" w:line="240" w:lineRule="auto"/>
      <w:jc w:val="both"/>
      <w:outlineLvl w:val="1"/>
    </w:pPr>
    <w:rPr>
      <w:rFonts w:ascii="Times New Roman" w:eastAsia="Times New Roman" w:hAnsi="Times New Roman" w:cs="Times New Roman"/>
      <w:b/>
      <w:bCs/>
      <w:lang w:val="en-US"/>
    </w:rPr>
  </w:style>
  <w:style w:type="paragraph" w:styleId="Titre3">
    <w:name w:val="heading 3"/>
    <w:basedOn w:val="Normal"/>
    <w:next w:val="Normal"/>
    <w:link w:val="Titre3Car"/>
    <w:uiPriority w:val="9"/>
    <w:unhideWhenUsed/>
    <w:qFormat/>
    <w:rsid w:val="00CA1934"/>
    <w:pPr>
      <w:keepNext/>
      <w:keepLines/>
      <w:numPr>
        <w:ilvl w:val="2"/>
        <w:numId w:val="2"/>
      </w:numPr>
      <w:spacing w:before="40" w:after="0"/>
      <w:outlineLvl w:val="2"/>
    </w:pPr>
    <w:rPr>
      <w:rFonts w:asciiTheme="majorHAnsi" w:eastAsiaTheme="majorEastAsia" w:hAnsiTheme="majorHAnsi" w:cstheme="majorBidi"/>
      <w:color w:val="285619" w:themeColor="accent1" w:themeShade="7F"/>
      <w:sz w:val="24"/>
      <w:szCs w:val="24"/>
    </w:rPr>
  </w:style>
  <w:style w:type="paragraph" w:styleId="Titre4">
    <w:name w:val="heading 4"/>
    <w:basedOn w:val="Normal"/>
    <w:next w:val="Normal"/>
    <w:link w:val="Titre4Car"/>
    <w:uiPriority w:val="9"/>
    <w:semiHidden/>
    <w:unhideWhenUsed/>
    <w:qFormat/>
    <w:rsid w:val="00CA1934"/>
    <w:pPr>
      <w:keepNext/>
      <w:keepLines/>
      <w:numPr>
        <w:ilvl w:val="3"/>
        <w:numId w:val="2"/>
      </w:numPr>
      <w:spacing w:before="200" w:after="0"/>
      <w:outlineLvl w:val="3"/>
    </w:pPr>
    <w:rPr>
      <w:rFonts w:asciiTheme="majorHAnsi" w:eastAsiaTheme="majorEastAsia" w:hAnsiTheme="majorHAnsi" w:cstheme="majorBidi"/>
      <w:b/>
      <w:bCs/>
      <w:i/>
      <w:iCs/>
      <w:color w:val="52AE32" w:themeColor="accent1"/>
    </w:rPr>
  </w:style>
  <w:style w:type="paragraph" w:styleId="Titre5">
    <w:name w:val="heading 5"/>
    <w:basedOn w:val="Normal"/>
    <w:next w:val="Normal"/>
    <w:link w:val="Titre5Car"/>
    <w:uiPriority w:val="9"/>
    <w:semiHidden/>
    <w:unhideWhenUsed/>
    <w:qFormat/>
    <w:rsid w:val="00CA1934"/>
    <w:pPr>
      <w:keepNext/>
      <w:keepLines/>
      <w:numPr>
        <w:ilvl w:val="4"/>
        <w:numId w:val="2"/>
      </w:numPr>
      <w:spacing w:before="200" w:after="0"/>
      <w:outlineLvl w:val="4"/>
    </w:pPr>
    <w:rPr>
      <w:rFonts w:asciiTheme="majorHAnsi" w:eastAsiaTheme="majorEastAsia" w:hAnsiTheme="majorHAnsi" w:cstheme="majorBidi"/>
      <w:color w:val="285619" w:themeColor="accent1" w:themeShade="7F"/>
    </w:rPr>
  </w:style>
  <w:style w:type="paragraph" w:styleId="Titre6">
    <w:name w:val="heading 6"/>
    <w:basedOn w:val="Normal"/>
    <w:next w:val="Normal"/>
    <w:link w:val="Titre6Car"/>
    <w:uiPriority w:val="9"/>
    <w:semiHidden/>
    <w:unhideWhenUsed/>
    <w:qFormat/>
    <w:rsid w:val="00CA1934"/>
    <w:pPr>
      <w:keepNext/>
      <w:keepLines/>
      <w:numPr>
        <w:ilvl w:val="5"/>
        <w:numId w:val="2"/>
      </w:numPr>
      <w:spacing w:before="200" w:after="0"/>
      <w:outlineLvl w:val="5"/>
    </w:pPr>
    <w:rPr>
      <w:rFonts w:asciiTheme="majorHAnsi" w:eastAsiaTheme="majorEastAsia" w:hAnsiTheme="majorHAnsi" w:cstheme="majorBidi"/>
      <w:i/>
      <w:iCs/>
      <w:color w:val="285619" w:themeColor="accent1" w:themeShade="7F"/>
    </w:rPr>
  </w:style>
  <w:style w:type="paragraph" w:styleId="Titre7">
    <w:name w:val="heading 7"/>
    <w:basedOn w:val="Normal"/>
    <w:next w:val="Normal"/>
    <w:link w:val="Titre7Car"/>
    <w:uiPriority w:val="9"/>
    <w:semiHidden/>
    <w:unhideWhenUsed/>
    <w:qFormat/>
    <w:rsid w:val="00CA193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A193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A193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Car"/>
    <w:basedOn w:val="Policepardfaut"/>
    <w:link w:val="Titre1"/>
    <w:uiPriority w:val="1"/>
    <w:rsid w:val="00CA1934"/>
    <w:rPr>
      <w:rFonts w:asciiTheme="majorHAnsi" w:eastAsiaTheme="majorEastAsia" w:hAnsiTheme="majorHAnsi" w:cstheme="majorBidi"/>
      <w:b/>
      <w:bCs/>
      <w:color w:val="3D8225" w:themeColor="accent1" w:themeShade="BF"/>
      <w:sz w:val="28"/>
      <w:szCs w:val="28"/>
      <w:lang w:eastAsia="fr-FR"/>
    </w:rPr>
  </w:style>
  <w:style w:type="character" w:customStyle="1" w:styleId="Titre2Car">
    <w:name w:val="Titre 2 Car"/>
    <w:aliases w:val="TITRE 2 Car"/>
    <w:basedOn w:val="Policepardfaut"/>
    <w:link w:val="Titre2"/>
    <w:uiPriority w:val="2"/>
    <w:rsid w:val="00CA1934"/>
    <w:rPr>
      <w:rFonts w:ascii="Times New Roman" w:eastAsia="Times New Roman" w:hAnsi="Times New Roman" w:cs="Times New Roman"/>
      <w:b/>
      <w:bCs/>
      <w:lang w:val="en-US" w:eastAsia="fr-FR"/>
    </w:rPr>
  </w:style>
  <w:style w:type="character" w:customStyle="1" w:styleId="Titre3Car">
    <w:name w:val="Titre 3 Car"/>
    <w:basedOn w:val="Policepardfaut"/>
    <w:link w:val="Titre3"/>
    <w:uiPriority w:val="9"/>
    <w:rsid w:val="00CA1934"/>
    <w:rPr>
      <w:rFonts w:asciiTheme="majorHAnsi" w:eastAsiaTheme="majorEastAsia" w:hAnsiTheme="majorHAnsi" w:cstheme="majorBidi"/>
      <w:color w:val="285619" w:themeColor="accent1" w:themeShade="7F"/>
      <w:sz w:val="24"/>
      <w:szCs w:val="24"/>
      <w:lang w:eastAsia="fr-FR"/>
    </w:rPr>
  </w:style>
  <w:style w:type="character" w:customStyle="1" w:styleId="Titre4Car">
    <w:name w:val="Titre 4 Car"/>
    <w:basedOn w:val="Policepardfaut"/>
    <w:link w:val="Titre4"/>
    <w:uiPriority w:val="9"/>
    <w:semiHidden/>
    <w:rsid w:val="00CA1934"/>
    <w:rPr>
      <w:rFonts w:asciiTheme="majorHAnsi" w:eastAsiaTheme="majorEastAsia" w:hAnsiTheme="majorHAnsi" w:cstheme="majorBidi"/>
      <w:b/>
      <w:bCs/>
      <w:i/>
      <w:iCs/>
      <w:color w:val="52AE32" w:themeColor="accent1"/>
      <w:lang w:eastAsia="fr-FR"/>
    </w:rPr>
  </w:style>
  <w:style w:type="character" w:customStyle="1" w:styleId="Titre5Car">
    <w:name w:val="Titre 5 Car"/>
    <w:basedOn w:val="Policepardfaut"/>
    <w:link w:val="Titre5"/>
    <w:uiPriority w:val="9"/>
    <w:semiHidden/>
    <w:rsid w:val="00CA1934"/>
    <w:rPr>
      <w:rFonts w:asciiTheme="majorHAnsi" w:eastAsiaTheme="majorEastAsia" w:hAnsiTheme="majorHAnsi" w:cstheme="majorBidi"/>
      <w:color w:val="285619" w:themeColor="accent1" w:themeShade="7F"/>
      <w:lang w:eastAsia="fr-FR"/>
    </w:rPr>
  </w:style>
  <w:style w:type="character" w:customStyle="1" w:styleId="Titre6Car">
    <w:name w:val="Titre 6 Car"/>
    <w:basedOn w:val="Policepardfaut"/>
    <w:link w:val="Titre6"/>
    <w:uiPriority w:val="9"/>
    <w:semiHidden/>
    <w:rsid w:val="00CA1934"/>
    <w:rPr>
      <w:rFonts w:asciiTheme="majorHAnsi" w:eastAsiaTheme="majorEastAsia" w:hAnsiTheme="majorHAnsi" w:cstheme="majorBidi"/>
      <w:i/>
      <w:iCs/>
      <w:color w:val="285619" w:themeColor="accent1" w:themeShade="7F"/>
      <w:lang w:eastAsia="fr-FR"/>
    </w:rPr>
  </w:style>
  <w:style w:type="character" w:customStyle="1" w:styleId="Titre7Car">
    <w:name w:val="Titre 7 Car"/>
    <w:basedOn w:val="Policepardfaut"/>
    <w:link w:val="Titre7"/>
    <w:uiPriority w:val="9"/>
    <w:semiHidden/>
    <w:rsid w:val="00CA1934"/>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CA1934"/>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CA1934"/>
    <w:rPr>
      <w:rFonts w:asciiTheme="majorHAnsi" w:eastAsiaTheme="majorEastAsia" w:hAnsiTheme="majorHAnsi" w:cstheme="majorBidi"/>
      <w:i/>
      <w:iCs/>
      <w:color w:val="404040" w:themeColor="text1" w:themeTint="BF"/>
      <w:sz w:val="20"/>
      <w:szCs w:val="20"/>
      <w:lang w:eastAsia="fr-FR"/>
    </w:rPr>
  </w:style>
  <w:style w:type="paragraph" w:styleId="Corpsdetexte2">
    <w:name w:val="Body Text 2"/>
    <w:basedOn w:val="Normal"/>
    <w:link w:val="Corpsdetexte2Car"/>
    <w:rsid w:val="00CA1934"/>
    <w:pPr>
      <w:tabs>
        <w:tab w:val="left" w:pos="-720"/>
      </w:tabs>
      <w:suppressAutoHyphens/>
      <w:spacing w:after="0" w:line="240" w:lineRule="auto"/>
    </w:pPr>
    <w:rPr>
      <w:rFonts w:ascii="Arial" w:eastAsia="Times New Roman" w:hAnsi="Arial" w:cs="Times New Roman"/>
      <w:spacing w:val="-3"/>
      <w:sz w:val="20"/>
      <w:szCs w:val="20"/>
      <w:lang w:val="en-GB"/>
    </w:rPr>
  </w:style>
  <w:style w:type="character" w:customStyle="1" w:styleId="Corpsdetexte2Car">
    <w:name w:val="Corps de texte 2 Car"/>
    <w:basedOn w:val="Policepardfaut"/>
    <w:link w:val="Corpsdetexte2"/>
    <w:rsid w:val="00CA1934"/>
    <w:rPr>
      <w:rFonts w:ascii="Arial" w:eastAsia="Times New Roman" w:hAnsi="Arial" w:cs="Times New Roman"/>
      <w:spacing w:val="-3"/>
      <w:sz w:val="20"/>
      <w:szCs w:val="20"/>
      <w:lang w:val="en-GB"/>
    </w:rPr>
  </w:style>
  <w:style w:type="paragraph" w:styleId="Notedebasdepage">
    <w:name w:val="footnote text"/>
    <w:aliases w:val="Footnote,12pt,FOOTNOTES,fn,single space,footnote text,Texte de note de bas de page,footnote text Car,Texte de note de bas de page Car,footnote text Car Car Car,footnote text Car1 Car,Cha,Char,Footnote Text.SES,Footnote Text Char Char"/>
    <w:basedOn w:val="Normal"/>
    <w:link w:val="NotedebasdepageCar"/>
    <w:uiPriority w:val="99"/>
    <w:rsid w:val="00CA19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Policepardfaut"/>
    <w:uiPriority w:val="99"/>
    <w:semiHidden/>
    <w:rsid w:val="00CA1934"/>
    <w:rPr>
      <w:rFonts w:eastAsiaTheme="minorEastAsia"/>
      <w:sz w:val="20"/>
      <w:szCs w:val="20"/>
      <w:lang w:eastAsia="fr-FR"/>
    </w:rPr>
  </w:style>
  <w:style w:type="character" w:customStyle="1" w:styleId="NotedebasdepageCar">
    <w:name w:val="Note de bas de page Car"/>
    <w:aliases w:val="Footnote Car,12pt Car,FOOTNOTES Car,fn Car,single space Car,footnote text Car1,Texte de note de bas de page Car1,footnote text Car Car,Texte de note de bas de page Car Car,footnote text Car Car Car Car,footnote text Car1 Car Car"/>
    <w:basedOn w:val="Policepardfaut"/>
    <w:link w:val="Notedebasdepage"/>
    <w:uiPriority w:val="99"/>
    <w:rsid w:val="00CA1934"/>
    <w:rPr>
      <w:rFonts w:ascii="Times New Roman" w:eastAsia="Times New Roman" w:hAnsi="Times New Roman" w:cs="Times New Roman"/>
      <w:sz w:val="20"/>
      <w:szCs w:val="20"/>
      <w:lang w:eastAsia="fr-FR"/>
    </w:rPr>
  </w:style>
  <w:style w:type="character" w:styleId="Appelnotedebasdep">
    <w:name w:val="footnote reference"/>
    <w:aliases w:val="BVI fnr Car,BVI fnr Car Car Car,BVI fnr Car Car,BVI fnr Car Car Car Car Char Car,BVI fnr Car1 Car,BVI fnr Car Car Car Car,BVI fnr Car Car Car1,BVI fnr Car Car Car Car Char Char Car Car, BVI fnr Car, BVI fnr Car Car Car, BVI fnr"/>
    <w:link w:val="BVIfnr"/>
    <w:uiPriority w:val="99"/>
    <w:qFormat/>
    <w:rsid w:val="00CA1934"/>
    <w:rPr>
      <w:vertAlign w:val="superscript"/>
    </w:rPr>
  </w:style>
  <w:style w:type="paragraph" w:styleId="Commentaire">
    <w:name w:val="annotation text"/>
    <w:basedOn w:val="Normal"/>
    <w:link w:val="CommentaireCar"/>
    <w:uiPriority w:val="99"/>
    <w:rsid w:val="00CA1934"/>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CA1934"/>
    <w:rPr>
      <w:rFonts w:ascii="Times New Roman" w:eastAsia="Times New Roman" w:hAnsi="Times New Roman" w:cs="Times New Roman"/>
      <w:sz w:val="20"/>
      <w:szCs w:val="20"/>
      <w:lang w:eastAsia="fr-FR"/>
    </w:rPr>
  </w:style>
  <w:style w:type="character" w:styleId="Marquedecommentaire">
    <w:name w:val="annotation reference"/>
    <w:uiPriority w:val="99"/>
    <w:semiHidden/>
    <w:rsid w:val="00CA1934"/>
    <w:rPr>
      <w:sz w:val="16"/>
      <w:szCs w:val="16"/>
    </w:rPr>
  </w:style>
  <w:style w:type="paragraph" w:styleId="Corpsdetexte3">
    <w:name w:val="Body Text 3"/>
    <w:basedOn w:val="Normal"/>
    <w:link w:val="Corpsdetexte3Car"/>
    <w:rsid w:val="00CA1934"/>
    <w:pPr>
      <w:spacing w:after="0" w:line="240" w:lineRule="auto"/>
      <w:jc w:val="both"/>
    </w:pPr>
    <w:rPr>
      <w:rFonts w:ascii="Times New Roman" w:eastAsia="Times New Roman" w:hAnsi="Times New Roman" w:cs="Times New Roman"/>
    </w:rPr>
  </w:style>
  <w:style w:type="character" w:customStyle="1" w:styleId="Corpsdetexte3Car">
    <w:name w:val="Corps de texte 3 Car"/>
    <w:basedOn w:val="Policepardfaut"/>
    <w:link w:val="Corpsdetexte3"/>
    <w:rsid w:val="00CA1934"/>
    <w:rPr>
      <w:rFonts w:ascii="Times New Roman" w:eastAsia="Times New Roman" w:hAnsi="Times New Roman" w:cs="Times New Roman"/>
      <w:lang w:eastAsia="fr-FR"/>
    </w:rPr>
  </w:style>
  <w:style w:type="paragraph" w:customStyle="1" w:styleId="Texte">
    <w:name w:val="Texte"/>
    <w:basedOn w:val="Corpsdetexte2"/>
    <w:rsid w:val="00CA1934"/>
    <w:pPr>
      <w:tabs>
        <w:tab w:val="clear" w:pos="-720"/>
      </w:tabs>
      <w:suppressAutoHyphens w:val="0"/>
      <w:spacing w:after="120"/>
      <w:jc w:val="both"/>
    </w:pPr>
    <w:rPr>
      <w:rFonts w:cs="Arial"/>
      <w:spacing w:val="0"/>
      <w:szCs w:val="24"/>
      <w:lang w:val="en-US" w:bidi="fa-IR"/>
    </w:rPr>
  </w:style>
  <w:style w:type="paragraph" w:styleId="Textedebulles">
    <w:name w:val="Balloon Text"/>
    <w:basedOn w:val="Normal"/>
    <w:link w:val="TextedebullesCar"/>
    <w:unhideWhenUsed/>
    <w:rsid w:val="00CA19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CA1934"/>
    <w:rPr>
      <w:rFonts w:ascii="Segoe UI" w:eastAsiaTheme="minorEastAsia"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CA1934"/>
    <w:pPr>
      <w:spacing w:after="160"/>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CA1934"/>
    <w:rPr>
      <w:rFonts w:ascii="Times New Roman" w:eastAsiaTheme="minorEastAsia" w:hAnsi="Times New Roman" w:cs="Times New Roman"/>
      <w:b/>
      <w:bCs/>
      <w:sz w:val="20"/>
      <w:szCs w:val="20"/>
      <w:lang w:eastAsia="fr-FR"/>
    </w:rPr>
  </w:style>
  <w:style w:type="paragraph" w:styleId="PrformatHTML">
    <w:name w:val="HTML Preformatted"/>
    <w:basedOn w:val="Normal"/>
    <w:link w:val="PrformatHTMLCar"/>
    <w:uiPriority w:val="99"/>
    <w:unhideWhenUsed/>
    <w:rsid w:val="00CA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CA1934"/>
    <w:rPr>
      <w:rFonts w:ascii="Courier New" w:eastAsia="Times New Roman" w:hAnsi="Courier New" w:cs="Courier New"/>
      <w:sz w:val="20"/>
      <w:szCs w:val="20"/>
      <w:lang w:eastAsia="fr-FR"/>
    </w:rPr>
  </w:style>
  <w:style w:type="paragraph" w:customStyle="1" w:styleId="ZDGName">
    <w:name w:val="Z_DGName"/>
    <w:basedOn w:val="Normal"/>
    <w:rsid w:val="00CA1934"/>
    <w:pPr>
      <w:widowControl w:val="0"/>
      <w:spacing w:after="0" w:line="240" w:lineRule="auto"/>
      <w:ind w:right="85"/>
      <w:jc w:val="both"/>
    </w:pPr>
    <w:rPr>
      <w:rFonts w:ascii="Arial" w:eastAsia="Times New Roman" w:hAnsi="Arial" w:cs="Arial"/>
      <w:sz w:val="16"/>
      <w:szCs w:val="16"/>
      <w:lang w:val="en-GB"/>
    </w:rPr>
  </w:style>
  <w:style w:type="paragraph" w:styleId="Sansinterligne">
    <w:name w:val="No Spacing"/>
    <w:link w:val="SansinterligneCar"/>
    <w:uiPriority w:val="1"/>
    <w:qFormat/>
    <w:rsid w:val="00CA1934"/>
    <w:pPr>
      <w:spacing w:after="0" w:line="240" w:lineRule="auto"/>
    </w:pPr>
    <w:rPr>
      <w:rFonts w:ascii="Calibri" w:eastAsia="Times New Roman" w:hAnsi="Calibri" w:cs="Times New Roman"/>
      <w:lang w:eastAsia="fr-FR"/>
    </w:rPr>
  </w:style>
  <w:style w:type="paragraph" w:styleId="Lgende">
    <w:name w:val="caption"/>
    <w:basedOn w:val="Normal"/>
    <w:next w:val="Normal"/>
    <w:uiPriority w:val="35"/>
    <w:unhideWhenUsed/>
    <w:qFormat/>
    <w:rsid w:val="00CA1934"/>
    <w:pPr>
      <w:tabs>
        <w:tab w:val="left" w:pos="567"/>
        <w:tab w:val="left" w:pos="709"/>
        <w:tab w:val="left" w:pos="786"/>
        <w:tab w:val="left" w:pos="2835"/>
      </w:tabs>
      <w:spacing w:after="0" w:line="240" w:lineRule="auto"/>
      <w:jc w:val="both"/>
    </w:pPr>
    <w:rPr>
      <w:rFonts w:ascii="Arial" w:eastAsia="Times New Roman" w:hAnsi="Arial" w:cs="Arial"/>
      <w:i/>
      <w:iCs/>
      <w:sz w:val="18"/>
      <w:szCs w:val="20"/>
      <w:lang w:eastAsia="en-US"/>
    </w:rPr>
  </w:style>
  <w:style w:type="paragraph" w:customStyle="1" w:styleId="BVIfnr">
    <w:name w:val="BVI fnr"/>
    <w:aliases w:val="BVI fnr Car Car Car Car Char,BVI fnr Car1,BVI fnr Car Car Car Car Char Char Car,BVI fnr Car Car Car Car Char Car Car, BVI fnr Car Car Car Car Char, BVI fnr Car Car Car Car Char Char Car, BVI fnr Car Car Car Car Char Car Car"/>
    <w:basedOn w:val="Normal"/>
    <w:link w:val="Appelnotedebasdep"/>
    <w:rsid w:val="00CA1934"/>
    <w:pPr>
      <w:spacing w:line="240" w:lineRule="exact"/>
    </w:pPr>
    <w:rPr>
      <w:rFonts w:eastAsiaTheme="minorHAnsi"/>
      <w:vertAlign w:val="superscript"/>
      <w:lang w:eastAsia="en-US"/>
    </w:rPr>
  </w:style>
  <w:style w:type="character" w:customStyle="1" w:styleId="hps">
    <w:name w:val="hps"/>
    <w:basedOn w:val="Policepardfaut"/>
    <w:rsid w:val="00CA1934"/>
  </w:style>
  <w:style w:type="paragraph" w:styleId="Paragraphedeliste">
    <w:name w:val="List Paragraph"/>
    <w:aliases w:val="Premier"/>
    <w:basedOn w:val="Normal"/>
    <w:link w:val="ParagraphedelisteCar"/>
    <w:uiPriority w:val="34"/>
    <w:qFormat/>
    <w:rsid w:val="00CA1934"/>
    <w:pPr>
      <w:spacing w:after="0" w:line="240" w:lineRule="auto"/>
      <w:ind w:left="708"/>
    </w:pPr>
    <w:rPr>
      <w:rFonts w:ascii="Times New Roman" w:eastAsia="Times New Roman" w:hAnsi="Times New Roman" w:cs="Times New Roman"/>
      <w:sz w:val="24"/>
      <w:szCs w:val="24"/>
      <w:lang w:val="en-US" w:eastAsia="en-US"/>
    </w:rPr>
  </w:style>
  <w:style w:type="character" w:customStyle="1" w:styleId="SansinterligneCar">
    <w:name w:val="Sans interligne Car"/>
    <w:link w:val="Sansinterligne"/>
    <w:uiPriority w:val="1"/>
    <w:rsid w:val="00CA1934"/>
    <w:rPr>
      <w:rFonts w:ascii="Calibri" w:eastAsia="Times New Roman" w:hAnsi="Calibri" w:cs="Times New Roman"/>
      <w:lang w:eastAsia="fr-FR"/>
    </w:rPr>
  </w:style>
  <w:style w:type="character" w:customStyle="1" w:styleId="systranseg">
    <w:name w:val="systran_seg"/>
    <w:basedOn w:val="Policepardfaut"/>
    <w:rsid w:val="00CA1934"/>
  </w:style>
  <w:style w:type="character" w:customStyle="1" w:styleId="systrantokenword">
    <w:name w:val="systran_token_word"/>
    <w:basedOn w:val="Policepardfaut"/>
    <w:rsid w:val="00CA1934"/>
  </w:style>
  <w:style w:type="character" w:customStyle="1" w:styleId="systrantokennumeric">
    <w:name w:val="systran_token_numeric"/>
    <w:basedOn w:val="Policepardfaut"/>
    <w:rsid w:val="00CA1934"/>
  </w:style>
  <w:style w:type="character" w:customStyle="1" w:styleId="systrantokenpunctuation">
    <w:name w:val="systran_token_punctuation"/>
    <w:basedOn w:val="Policepardfaut"/>
    <w:rsid w:val="00CA1934"/>
  </w:style>
  <w:style w:type="paragraph" w:styleId="En-tte">
    <w:name w:val="header"/>
    <w:basedOn w:val="Normal"/>
    <w:link w:val="En-tteCar"/>
    <w:uiPriority w:val="99"/>
    <w:unhideWhenUsed/>
    <w:rsid w:val="00CA1934"/>
    <w:pPr>
      <w:tabs>
        <w:tab w:val="center" w:pos="4536"/>
        <w:tab w:val="right" w:pos="9072"/>
      </w:tabs>
      <w:spacing w:after="0" w:line="240" w:lineRule="auto"/>
    </w:pPr>
  </w:style>
  <w:style w:type="character" w:customStyle="1" w:styleId="En-tteCar">
    <w:name w:val="En-tête Car"/>
    <w:basedOn w:val="Policepardfaut"/>
    <w:link w:val="En-tte"/>
    <w:uiPriority w:val="99"/>
    <w:rsid w:val="00CA1934"/>
    <w:rPr>
      <w:rFonts w:eastAsiaTheme="minorEastAsia"/>
      <w:lang w:eastAsia="fr-FR"/>
    </w:rPr>
  </w:style>
  <w:style w:type="paragraph" w:styleId="Pieddepage">
    <w:name w:val="footer"/>
    <w:basedOn w:val="Normal"/>
    <w:link w:val="PieddepageCar"/>
    <w:uiPriority w:val="99"/>
    <w:unhideWhenUsed/>
    <w:rsid w:val="00CA1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1934"/>
    <w:rPr>
      <w:rFonts w:eastAsiaTheme="minorEastAsia"/>
      <w:lang w:eastAsia="fr-FR"/>
    </w:rPr>
  </w:style>
  <w:style w:type="paragraph" w:styleId="Corpsdetexte">
    <w:name w:val="Body Text"/>
    <w:basedOn w:val="Normal"/>
    <w:link w:val="CorpsdetexteCar"/>
    <w:uiPriority w:val="99"/>
    <w:semiHidden/>
    <w:unhideWhenUsed/>
    <w:rsid w:val="00CA1934"/>
    <w:pPr>
      <w:spacing w:after="120"/>
    </w:pPr>
  </w:style>
  <w:style w:type="character" w:customStyle="1" w:styleId="CorpsdetexteCar">
    <w:name w:val="Corps de texte Car"/>
    <w:basedOn w:val="Policepardfaut"/>
    <w:link w:val="Corpsdetexte"/>
    <w:uiPriority w:val="99"/>
    <w:semiHidden/>
    <w:rsid w:val="00CA1934"/>
    <w:rPr>
      <w:rFonts w:eastAsiaTheme="minorEastAsia"/>
      <w:lang w:eastAsia="fr-FR"/>
    </w:rPr>
  </w:style>
  <w:style w:type="paragraph" w:customStyle="1" w:styleId="Default">
    <w:name w:val="Default"/>
    <w:rsid w:val="00CA1934"/>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CA1934"/>
    <w:pPr>
      <w:spacing w:after="0" w:line="240" w:lineRule="auto"/>
    </w:pPr>
    <w:rPr>
      <w:rFonts w:eastAsiaTheme="minorEastAsia"/>
      <w:lang w:eastAsia="fr-FR"/>
    </w:rPr>
  </w:style>
  <w:style w:type="character" w:styleId="Accentuation">
    <w:name w:val="Emphasis"/>
    <w:uiPriority w:val="20"/>
    <w:qFormat/>
    <w:rsid w:val="00CA1934"/>
    <w:rPr>
      <w:i/>
      <w:iCs/>
    </w:rPr>
  </w:style>
  <w:style w:type="paragraph" w:styleId="En-ttedetabledesmatires">
    <w:name w:val="TOC Heading"/>
    <w:basedOn w:val="Titre1"/>
    <w:next w:val="Normal"/>
    <w:uiPriority w:val="39"/>
    <w:semiHidden/>
    <w:unhideWhenUsed/>
    <w:qFormat/>
    <w:rsid w:val="00CA1934"/>
    <w:pPr>
      <w:spacing w:line="276" w:lineRule="auto"/>
      <w:outlineLvl w:val="9"/>
    </w:pPr>
    <w:rPr>
      <w:lang w:val="en-US" w:eastAsia="ja-JP"/>
    </w:rPr>
  </w:style>
  <w:style w:type="paragraph" w:styleId="TM1">
    <w:name w:val="toc 1"/>
    <w:basedOn w:val="Normal"/>
    <w:next w:val="Normal"/>
    <w:autoRedefine/>
    <w:uiPriority w:val="39"/>
    <w:unhideWhenUsed/>
    <w:rsid w:val="00CA1934"/>
    <w:pPr>
      <w:spacing w:after="100"/>
    </w:pPr>
  </w:style>
  <w:style w:type="paragraph" w:styleId="TM2">
    <w:name w:val="toc 2"/>
    <w:basedOn w:val="Normal"/>
    <w:next w:val="Normal"/>
    <w:autoRedefine/>
    <w:uiPriority w:val="39"/>
    <w:unhideWhenUsed/>
    <w:rsid w:val="00CA1934"/>
    <w:pPr>
      <w:spacing w:after="100"/>
      <w:ind w:left="220"/>
    </w:pPr>
  </w:style>
  <w:style w:type="character" w:styleId="Lienhypertexte">
    <w:name w:val="Hyperlink"/>
    <w:basedOn w:val="Policepardfaut"/>
    <w:uiPriority w:val="99"/>
    <w:unhideWhenUsed/>
    <w:rsid w:val="00CA1934"/>
    <w:rPr>
      <w:color w:val="0070C0" w:themeColor="hyperlink"/>
      <w:u w:val="single"/>
    </w:rPr>
  </w:style>
  <w:style w:type="paragraph" w:styleId="Tabledesillustrations">
    <w:name w:val="table of figures"/>
    <w:basedOn w:val="Normal"/>
    <w:next w:val="Normal"/>
    <w:uiPriority w:val="99"/>
    <w:unhideWhenUsed/>
    <w:rsid w:val="00CA1934"/>
    <w:pPr>
      <w:spacing w:after="0"/>
    </w:pPr>
  </w:style>
  <w:style w:type="table" w:styleId="Grilledutableau">
    <w:name w:val="Table Grid"/>
    <w:basedOn w:val="TableauNormal"/>
    <w:uiPriority w:val="39"/>
    <w:rsid w:val="0016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remier Car"/>
    <w:link w:val="Paragraphedeliste"/>
    <w:uiPriority w:val="34"/>
    <w:locked/>
    <w:rsid w:val="00CE0960"/>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A3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2">
    <w:name w:val="Char2"/>
    <w:basedOn w:val="Normal"/>
    <w:rsid w:val="006B4AA4"/>
    <w:pPr>
      <w:spacing w:line="240" w:lineRule="exact"/>
    </w:pPr>
    <w:rPr>
      <w:rFonts w:eastAsiaTheme="minorHAnsi"/>
      <w:vertAlign w:val="superscript"/>
      <w:lang w:eastAsia="en-US"/>
    </w:rPr>
  </w:style>
  <w:style w:type="paragraph" w:customStyle="1" w:styleId="1main">
    <w:name w:val="1.main"/>
    <w:uiPriority w:val="99"/>
    <w:rsid w:val="003F4D96"/>
    <w:pPr>
      <w:widowControl w:val="0"/>
      <w:autoSpaceDE w:val="0"/>
      <w:autoSpaceDN w:val="0"/>
      <w:adjustRightInd w:val="0"/>
      <w:spacing w:after="0" w:line="240" w:lineRule="auto"/>
    </w:pPr>
    <w:rPr>
      <w:rFonts w:ascii="Times New Roman" w:eastAsiaTheme="minorEastAsia" w:hAnsi="Times New Roman" w:cs="Times New Roman"/>
      <w:lang w:val="en-GB" w:eastAsia="fr-FR"/>
    </w:rPr>
  </w:style>
  <w:style w:type="paragraph" w:customStyle="1" w:styleId="Sous-titreLatoB">
    <w:name w:val="Sous-titre Lato B"/>
    <w:basedOn w:val="Titre5"/>
    <w:link w:val="Sous-titreLatoBCar"/>
    <w:uiPriority w:val="5"/>
    <w:qFormat/>
    <w:rsid w:val="004F1EFD"/>
    <w:pPr>
      <w:numPr>
        <w:ilvl w:val="0"/>
        <w:numId w:val="0"/>
      </w:numPr>
      <w:spacing w:before="40" w:line="264" w:lineRule="auto"/>
    </w:pPr>
    <w:rPr>
      <w:rFonts w:ascii="Lato Semibold" w:eastAsia="Times New Roman" w:hAnsi="Lato Semibold"/>
      <w:color w:val="005FB6" w:themeColor="accent2"/>
      <w:sz w:val="32"/>
      <w:lang w:val="es-ES" w:eastAsia="es-ES"/>
    </w:rPr>
  </w:style>
  <w:style w:type="character" w:customStyle="1" w:styleId="Sous-titreLatoBCar">
    <w:name w:val="Sous-titre Lato B Car"/>
    <w:basedOn w:val="Policepardfaut"/>
    <w:link w:val="Sous-titreLatoB"/>
    <w:uiPriority w:val="5"/>
    <w:rsid w:val="004F1EFD"/>
    <w:rPr>
      <w:rFonts w:ascii="Lato Semibold" w:eastAsia="Times New Roman" w:hAnsi="Lato Semibold" w:cstheme="majorBidi"/>
      <w:color w:val="005FB6" w:themeColor="accent2"/>
      <w:sz w:val="32"/>
      <w:lang w:val="es-ES" w:eastAsia="es-ES"/>
    </w:rPr>
  </w:style>
  <w:style w:type="paragraph" w:customStyle="1" w:styleId="BVIfnrCarCar1CarCarCarCarCar1CarChar">
    <w:name w:val="BVI fnr Car Car1 Car Car Car Car Car1 Car Char"/>
    <w:aliases w:val="BVI fnr Car Car Car1 Car Car Car Car Car Char,BVI fnr Car Car Car Car Car Car Car Car Car Car Char,BVI fnr Car Car Car Car Car Car Car Car Car Char,16 Point Char"/>
    <w:basedOn w:val="Normal"/>
    <w:uiPriority w:val="99"/>
    <w:rsid w:val="004F1EFD"/>
    <w:pPr>
      <w:spacing w:line="240" w:lineRule="exact"/>
      <w:jc w:val="both"/>
    </w:pPr>
    <w:rPr>
      <w:rFonts w:ascii="Times New Roman" w:eastAsiaTheme="minorHAnsi" w:hAnsi="Times New Roman" w:cs="Times New Roman"/>
      <w:sz w:val="16"/>
      <w:vertAlign w:val="superscript"/>
      <w:lang w:val="en-US" w:eastAsia="x-none"/>
    </w:rPr>
  </w:style>
  <w:style w:type="table" w:styleId="TableauGrille1Clair-Accentuation5">
    <w:name w:val="Grid Table 1 Light Accent 5"/>
    <w:basedOn w:val="TableauNormal"/>
    <w:uiPriority w:val="46"/>
    <w:rsid w:val="00C00FDA"/>
    <w:pPr>
      <w:spacing w:after="0" w:line="240" w:lineRule="auto"/>
    </w:pPr>
    <w:tblPr>
      <w:tblStyleRowBandSize w:val="1"/>
      <w:tblStyleColBandSize w:val="1"/>
      <w:tblBorders>
        <w:top w:val="single" w:sz="4" w:space="0" w:color="B6E5A5" w:themeColor="accent5" w:themeTint="66"/>
        <w:left w:val="single" w:sz="4" w:space="0" w:color="B6E5A5" w:themeColor="accent5" w:themeTint="66"/>
        <w:bottom w:val="single" w:sz="4" w:space="0" w:color="B6E5A5" w:themeColor="accent5" w:themeTint="66"/>
        <w:right w:val="single" w:sz="4" w:space="0" w:color="B6E5A5" w:themeColor="accent5" w:themeTint="66"/>
        <w:insideH w:val="single" w:sz="4" w:space="0" w:color="B6E5A5" w:themeColor="accent5" w:themeTint="66"/>
        <w:insideV w:val="single" w:sz="4" w:space="0" w:color="B6E5A5" w:themeColor="accent5" w:themeTint="66"/>
      </w:tblBorders>
    </w:tblPr>
    <w:tblStylePr w:type="firstRow">
      <w:rPr>
        <w:b/>
        <w:bCs/>
      </w:rPr>
      <w:tblPr/>
      <w:tcPr>
        <w:tcBorders>
          <w:bottom w:val="single" w:sz="12" w:space="0" w:color="91D879" w:themeColor="accent5" w:themeTint="99"/>
        </w:tcBorders>
      </w:tcPr>
    </w:tblStylePr>
    <w:tblStylePr w:type="lastRow">
      <w:rPr>
        <w:b/>
        <w:bCs/>
      </w:rPr>
      <w:tblPr/>
      <w:tcPr>
        <w:tcBorders>
          <w:top w:val="double" w:sz="2" w:space="0" w:color="91D879" w:themeColor="accent5"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C00FDA"/>
    <w:pPr>
      <w:spacing w:after="0" w:line="240" w:lineRule="auto"/>
    </w:pPr>
    <w:tblPr>
      <w:tblStyleRowBandSize w:val="1"/>
      <w:tblStyleColBandSize w:val="1"/>
      <w:tblBorders>
        <w:top w:val="single" w:sz="4" w:space="0" w:color="91D879" w:themeColor="accent5" w:themeTint="99"/>
        <w:left w:val="single" w:sz="4" w:space="0" w:color="91D879" w:themeColor="accent5" w:themeTint="99"/>
        <w:bottom w:val="single" w:sz="4" w:space="0" w:color="91D879" w:themeColor="accent5" w:themeTint="99"/>
        <w:right w:val="single" w:sz="4" w:space="0" w:color="91D879" w:themeColor="accent5" w:themeTint="99"/>
        <w:insideH w:val="single" w:sz="4" w:space="0" w:color="91D879" w:themeColor="accent5" w:themeTint="99"/>
        <w:insideV w:val="single" w:sz="4" w:space="0" w:color="91D879" w:themeColor="accent5" w:themeTint="99"/>
      </w:tblBorders>
    </w:tblPr>
    <w:tblStylePr w:type="firstRow">
      <w:rPr>
        <w:b/>
        <w:bCs/>
        <w:color w:val="FFFFFF" w:themeColor="background1"/>
      </w:rPr>
      <w:tblPr/>
      <w:tcPr>
        <w:tcBorders>
          <w:top w:val="single" w:sz="4" w:space="0" w:color="52AE32" w:themeColor="accent5"/>
          <w:left w:val="single" w:sz="4" w:space="0" w:color="52AE32" w:themeColor="accent5"/>
          <w:bottom w:val="single" w:sz="4" w:space="0" w:color="52AE32" w:themeColor="accent5"/>
          <w:right w:val="single" w:sz="4" w:space="0" w:color="52AE32" w:themeColor="accent5"/>
          <w:insideH w:val="nil"/>
          <w:insideV w:val="nil"/>
        </w:tcBorders>
        <w:shd w:val="clear" w:color="auto" w:fill="52AE32" w:themeFill="accent5"/>
      </w:tcPr>
    </w:tblStylePr>
    <w:tblStylePr w:type="lastRow">
      <w:rPr>
        <w:b/>
        <w:bCs/>
      </w:rPr>
      <w:tblPr/>
      <w:tcPr>
        <w:tcBorders>
          <w:top w:val="double" w:sz="4" w:space="0" w:color="52AE32" w:themeColor="accent5"/>
        </w:tcBorders>
      </w:tcPr>
    </w:tblStylePr>
    <w:tblStylePr w:type="firstCol">
      <w:rPr>
        <w:b/>
        <w:bCs/>
      </w:rPr>
    </w:tblStylePr>
    <w:tblStylePr w:type="lastCol">
      <w:rPr>
        <w:b/>
        <w:bCs/>
      </w:rPr>
    </w:tblStylePr>
    <w:tblStylePr w:type="band1Vert">
      <w:tblPr/>
      <w:tcPr>
        <w:shd w:val="clear" w:color="auto" w:fill="DAF2D2" w:themeFill="accent5" w:themeFillTint="33"/>
      </w:tcPr>
    </w:tblStylePr>
    <w:tblStylePr w:type="band1Horz">
      <w:tblPr/>
      <w:tcPr>
        <w:shd w:val="clear" w:color="auto" w:fill="DAF2D2" w:themeFill="accent5" w:themeFillTint="33"/>
      </w:tcPr>
    </w:tblStylePr>
  </w:style>
  <w:style w:type="paragraph" w:customStyle="1" w:styleId="PUAMItexte">
    <w:name w:val="PUAMI_texte"/>
    <w:basedOn w:val="Normal"/>
    <w:rsid w:val="00974243"/>
    <w:pPr>
      <w:suppressAutoHyphens/>
      <w:spacing w:before="120" w:after="120" w:line="360" w:lineRule="auto"/>
      <w:jc w:val="both"/>
    </w:pPr>
    <w:rPr>
      <w:rFonts w:ascii="Arial" w:eastAsia="Times New Roman" w:hAnsi="Arial" w:cs="Calibri"/>
      <w:sz w:val="24"/>
      <w:szCs w:val="24"/>
      <w:lang w:eastAsia="ar-SA"/>
    </w:rPr>
  </w:style>
  <w:style w:type="table" w:styleId="TableauGrille4-Accentuation1">
    <w:name w:val="Grid Table 4 Accent 1"/>
    <w:basedOn w:val="TableauNormal"/>
    <w:uiPriority w:val="49"/>
    <w:rsid w:val="00337047"/>
    <w:pPr>
      <w:spacing w:after="0" w:line="240" w:lineRule="auto"/>
    </w:pPr>
    <w:tblPr>
      <w:tblStyleRowBandSize w:val="1"/>
      <w:tblStyleColBandSize w:val="1"/>
      <w:tblBorders>
        <w:top w:val="single" w:sz="4" w:space="0" w:color="91D879" w:themeColor="accent1" w:themeTint="99"/>
        <w:left w:val="single" w:sz="4" w:space="0" w:color="91D879" w:themeColor="accent1" w:themeTint="99"/>
        <w:bottom w:val="single" w:sz="4" w:space="0" w:color="91D879" w:themeColor="accent1" w:themeTint="99"/>
        <w:right w:val="single" w:sz="4" w:space="0" w:color="91D879" w:themeColor="accent1" w:themeTint="99"/>
        <w:insideH w:val="single" w:sz="4" w:space="0" w:color="91D879" w:themeColor="accent1" w:themeTint="99"/>
        <w:insideV w:val="single" w:sz="4" w:space="0" w:color="91D879" w:themeColor="accent1" w:themeTint="99"/>
      </w:tblBorders>
    </w:tblPr>
    <w:tblStylePr w:type="firstRow">
      <w:rPr>
        <w:b/>
        <w:bCs/>
        <w:color w:val="FFFFFF" w:themeColor="background1"/>
      </w:rPr>
      <w:tblPr/>
      <w:tcPr>
        <w:tcBorders>
          <w:top w:val="single" w:sz="4" w:space="0" w:color="52AE32" w:themeColor="accent1"/>
          <w:left w:val="single" w:sz="4" w:space="0" w:color="52AE32" w:themeColor="accent1"/>
          <w:bottom w:val="single" w:sz="4" w:space="0" w:color="52AE32" w:themeColor="accent1"/>
          <w:right w:val="single" w:sz="4" w:space="0" w:color="52AE32" w:themeColor="accent1"/>
          <w:insideH w:val="nil"/>
          <w:insideV w:val="nil"/>
        </w:tcBorders>
        <w:shd w:val="clear" w:color="auto" w:fill="52AE32" w:themeFill="accent1"/>
      </w:tcPr>
    </w:tblStylePr>
    <w:tblStylePr w:type="lastRow">
      <w:rPr>
        <w:b/>
        <w:bCs/>
      </w:rPr>
      <w:tblPr/>
      <w:tcPr>
        <w:tcBorders>
          <w:top w:val="double" w:sz="4" w:space="0" w:color="52AE32" w:themeColor="accent1"/>
        </w:tcBorders>
      </w:tcPr>
    </w:tblStylePr>
    <w:tblStylePr w:type="firstCol">
      <w:rPr>
        <w:b/>
        <w:bCs/>
      </w:rPr>
    </w:tblStylePr>
    <w:tblStylePr w:type="lastCol">
      <w:rPr>
        <w:b/>
        <w:bCs/>
      </w:rPr>
    </w:tblStylePr>
    <w:tblStylePr w:type="band1Vert">
      <w:tblPr/>
      <w:tcPr>
        <w:shd w:val="clear" w:color="auto" w:fill="DAF2D2" w:themeFill="accent1" w:themeFillTint="33"/>
      </w:tcPr>
    </w:tblStylePr>
    <w:tblStylePr w:type="band1Horz">
      <w:tblPr/>
      <w:tcPr>
        <w:shd w:val="clear" w:color="auto" w:fill="DAF2D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0523">
      <w:bodyDiv w:val="1"/>
      <w:marLeft w:val="0"/>
      <w:marRight w:val="0"/>
      <w:marTop w:val="0"/>
      <w:marBottom w:val="0"/>
      <w:divBdr>
        <w:top w:val="none" w:sz="0" w:space="0" w:color="auto"/>
        <w:left w:val="none" w:sz="0" w:space="0" w:color="auto"/>
        <w:bottom w:val="none" w:sz="0" w:space="0" w:color="auto"/>
        <w:right w:val="none" w:sz="0" w:space="0" w:color="auto"/>
      </w:divBdr>
    </w:div>
    <w:div w:id="288358504">
      <w:bodyDiv w:val="1"/>
      <w:marLeft w:val="0"/>
      <w:marRight w:val="0"/>
      <w:marTop w:val="0"/>
      <w:marBottom w:val="0"/>
      <w:divBdr>
        <w:top w:val="none" w:sz="0" w:space="0" w:color="auto"/>
        <w:left w:val="none" w:sz="0" w:space="0" w:color="auto"/>
        <w:bottom w:val="none" w:sz="0" w:space="0" w:color="auto"/>
        <w:right w:val="none" w:sz="0" w:space="0" w:color="auto"/>
      </w:divBdr>
    </w:div>
    <w:div w:id="340425900">
      <w:bodyDiv w:val="1"/>
      <w:marLeft w:val="0"/>
      <w:marRight w:val="0"/>
      <w:marTop w:val="0"/>
      <w:marBottom w:val="0"/>
      <w:divBdr>
        <w:top w:val="none" w:sz="0" w:space="0" w:color="auto"/>
        <w:left w:val="none" w:sz="0" w:space="0" w:color="auto"/>
        <w:bottom w:val="none" w:sz="0" w:space="0" w:color="auto"/>
        <w:right w:val="none" w:sz="0" w:space="0" w:color="auto"/>
      </w:divBdr>
    </w:div>
    <w:div w:id="402139528">
      <w:bodyDiv w:val="1"/>
      <w:marLeft w:val="0"/>
      <w:marRight w:val="0"/>
      <w:marTop w:val="0"/>
      <w:marBottom w:val="0"/>
      <w:divBdr>
        <w:top w:val="none" w:sz="0" w:space="0" w:color="auto"/>
        <w:left w:val="none" w:sz="0" w:space="0" w:color="auto"/>
        <w:bottom w:val="none" w:sz="0" w:space="0" w:color="auto"/>
        <w:right w:val="none" w:sz="0" w:space="0" w:color="auto"/>
      </w:divBdr>
    </w:div>
    <w:div w:id="491260380">
      <w:bodyDiv w:val="1"/>
      <w:marLeft w:val="0"/>
      <w:marRight w:val="0"/>
      <w:marTop w:val="0"/>
      <w:marBottom w:val="0"/>
      <w:divBdr>
        <w:top w:val="none" w:sz="0" w:space="0" w:color="auto"/>
        <w:left w:val="none" w:sz="0" w:space="0" w:color="auto"/>
        <w:bottom w:val="none" w:sz="0" w:space="0" w:color="auto"/>
        <w:right w:val="none" w:sz="0" w:space="0" w:color="auto"/>
      </w:divBdr>
    </w:div>
    <w:div w:id="535894639">
      <w:bodyDiv w:val="1"/>
      <w:marLeft w:val="0"/>
      <w:marRight w:val="0"/>
      <w:marTop w:val="0"/>
      <w:marBottom w:val="0"/>
      <w:divBdr>
        <w:top w:val="none" w:sz="0" w:space="0" w:color="auto"/>
        <w:left w:val="none" w:sz="0" w:space="0" w:color="auto"/>
        <w:bottom w:val="none" w:sz="0" w:space="0" w:color="auto"/>
        <w:right w:val="none" w:sz="0" w:space="0" w:color="auto"/>
      </w:divBdr>
    </w:div>
    <w:div w:id="544106106">
      <w:bodyDiv w:val="1"/>
      <w:marLeft w:val="0"/>
      <w:marRight w:val="0"/>
      <w:marTop w:val="0"/>
      <w:marBottom w:val="0"/>
      <w:divBdr>
        <w:top w:val="none" w:sz="0" w:space="0" w:color="auto"/>
        <w:left w:val="none" w:sz="0" w:space="0" w:color="auto"/>
        <w:bottom w:val="none" w:sz="0" w:space="0" w:color="auto"/>
        <w:right w:val="none" w:sz="0" w:space="0" w:color="auto"/>
      </w:divBdr>
    </w:div>
    <w:div w:id="677463869">
      <w:bodyDiv w:val="1"/>
      <w:marLeft w:val="0"/>
      <w:marRight w:val="0"/>
      <w:marTop w:val="0"/>
      <w:marBottom w:val="0"/>
      <w:divBdr>
        <w:top w:val="none" w:sz="0" w:space="0" w:color="auto"/>
        <w:left w:val="none" w:sz="0" w:space="0" w:color="auto"/>
        <w:bottom w:val="none" w:sz="0" w:space="0" w:color="auto"/>
        <w:right w:val="none" w:sz="0" w:space="0" w:color="auto"/>
      </w:divBdr>
    </w:div>
    <w:div w:id="784348996">
      <w:bodyDiv w:val="1"/>
      <w:marLeft w:val="0"/>
      <w:marRight w:val="0"/>
      <w:marTop w:val="0"/>
      <w:marBottom w:val="0"/>
      <w:divBdr>
        <w:top w:val="none" w:sz="0" w:space="0" w:color="auto"/>
        <w:left w:val="none" w:sz="0" w:space="0" w:color="auto"/>
        <w:bottom w:val="none" w:sz="0" w:space="0" w:color="auto"/>
        <w:right w:val="none" w:sz="0" w:space="0" w:color="auto"/>
      </w:divBdr>
    </w:div>
    <w:div w:id="865363289">
      <w:bodyDiv w:val="1"/>
      <w:marLeft w:val="0"/>
      <w:marRight w:val="0"/>
      <w:marTop w:val="0"/>
      <w:marBottom w:val="0"/>
      <w:divBdr>
        <w:top w:val="none" w:sz="0" w:space="0" w:color="auto"/>
        <w:left w:val="none" w:sz="0" w:space="0" w:color="auto"/>
        <w:bottom w:val="none" w:sz="0" w:space="0" w:color="auto"/>
        <w:right w:val="none" w:sz="0" w:space="0" w:color="auto"/>
      </w:divBdr>
    </w:div>
    <w:div w:id="918951204">
      <w:bodyDiv w:val="1"/>
      <w:marLeft w:val="0"/>
      <w:marRight w:val="0"/>
      <w:marTop w:val="0"/>
      <w:marBottom w:val="0"/>
      <w:divBdr>
        <w:top w:val="none" w:sz="0" w:space="0" w:color="auto"/>
        <w:left w:val="none" w:sz="0" w:space="0" w:color="auto"/>
        <w:bottom w:val="none" w:sz="0" w:space="0" w:color="auto"/>
        <w:right w:val="none" w:sz="0" w:space="0" w:color="auto"/>
      </w:divBdr>
    </w:div>
    <w:div w:id="936791789">
      <w:bodyDiv w:val="1"/>
      <w:marLeft w:val="0"/>
      <w:marRight w:val="0"/>
      <w:marTop w:val="0"/>
      <w:marBottom w:val="0"/>
      <w:divBdr>
        <w:top w:val="none" w:sz="0" w:space="0" w:color="auto"/>
        <w:left w:val="none" w:sz="0" w:space="0" w:color="auto"/>
        <w:bottom w:val="none" w:sz="0" w:space="0" w:color="auto"/>
        <w:right w:val="none" w:sz="0" w:space="0" w:color="auto"/>
      </w:divBdr>
    </w:div>
    <w:div w:id="941453623">
      <w:bodyDiv w:val="1"/>
      <w:marLeft w:val="0"/>
      <w:marRight w:val="0"/>
      <w:marTop w:val="0"/>
      <w:marBottom w:val="0"/>
      <w:divBdr>
        <w:top w:val="none" w:sz="0" w:space="0" w:color="auto"/>
        <w:left w:val="none" w:sz="0" w:space="0" w:color="auto"/>
        <w:bottom w:val="none" w:sz="0" w:space="0" w:color="auto"/>
        <w:right w:val="none" w:sz="0" w:space="0" w:color="auto"/>
      </w:divBdr>
    </w:div>
    <w:div w:id="999193014">
      <w:bodyDiv w:val="1"/>
      <w:marLeft w:val="0"/>
      <w:marRight w:val="0"/>
      <w:marTop w:val="0"/>
      <w:marBottom w:val="0"/>
      <w:divBdr>
        <w:top w:val="none" w:sz="0" w:space="0" w:color="auto"/>
        <w:left w:val="none" w:sz="0" w:space="0" w:color="auto"/>
        <w:bottom w:val="none" w:sz="0" w:space="0" w:color="auto"/>
        <w:right w:val="none" w:sz="0" w:space="0" w:color="auto"/>
      </w:divBdr>
    </w:div>
    <w:div w:id="1012990839">
      <w:bodyDiv w:val="1"/>
      <w:marLeft w:val="0"/>
      <w:marRight w:val="0"/>
      <w:marTop w:val="0"/>
      <w:marBottom w:val="0"/>
      <w:divBdr>
        <w:top w:val="none" w:sz="0" w:space="0" w:color="auto"/>
        <w:left w:val="none" w:sz="0" w:space="0" w:color="auto"/>
        <w:bottom w:val="none" w:sz="0" w:space="0" w:color="auto"/>
        <w:right w:val="none" w:sz="0" w:space="0" w:color="auto"/>
      </w:divBdr>
    </w:div>
    <w:div w:id="1033310522">
      <w:bodyDiv w:val="1"/>
      <w:marLeft w:val="0"/>
      <w:marRight w:val="0"/>
      <w:marTop w:val="0"/>
      <w:marBottom w:val="0"/>
      <w:divBdr>
        <w:top w:val="none" w:sz="0" w:space="0" w:color="auto"/>
        <w:left w:val="none" w:sz="0" w:space="0" w:color="auto"/>
        <w:bottom w:val="none" w:sz="0" w:space="0" w:color="auto"/>
        <w:right w:val="none" w:sz="0" w:space="0" w:color="auto"/>
      </w:divBdr>
    </w:div>
    <w:div w:id="1039623539">
      <w:bodyDiv w:val="1"/>
      <w:marLeft w:val="0"/>
      <w:marRight w:val="0"/>
      <w:marTop w:val="0"/>
      <w:marBottom w:val="0"/>
      <w:divBdr>
        <w:top w:val="none" w:sz="0" w:space="0" w:color="auto"/>
        <w:left w:val="none" w:sz="0" w:space="0" w:color="auto"/>
        <w:bottom w:val="none" w:sz="0" w:space="0" w:color="auto"/>
        <w:right w:val="none" w:sz="0" w:space="0" w:color="auto"/>
      </w:divBdr>
      <w:divsChild>
        <w:div w:id="1100760274">
          <w:marLeft w:val="0"/>
          <w:marRight w:val="0"/>
          <w:marTop w:val="0"/>
          <w:marBottom w:val="0"/>
          <w:divBdr>
            <w:top w:val="none" w:sz="0" w:space="0" w:color="auto"/>
            <w:left w:val="none" w:sz="0" w:space="0" w:color="auto"/>
            <w:bottom w:val="none" w:sz="0" w:space="0" w:color="auto"/>
            <w:right w:val="none" w:sz="0" w:space="0" w:color="auto"/>
          </w:divBdr>
          <w:divsChild>
            <w:div w:id="467674950">
              <w:marLeft w:val="0"/>
              <w:marRight w:val="0"/>
              <w:marTop w:val="0"/>
              <w:marBottom w:val="0"/>
              <w:divBdr>
                <w:top w:val="none" w:sz="0" w:space="0" w:color="auto"/>
                <w:left w:val="none" w:sz="0" w:space="0" w:color="auto"/>
                <w:bottom w:val="none" w:sz="0" w:space="0" w:color="auto"/>
                <w:right w:val="none" w:sz="0" w:space="0" w:color="auto"/>
              </w:divBdr>
              <w:divsChild>
                <w:div w:id="1629117907">
                  <w:marLeft w:val="0"/>
                  <w:marRight w:val="0"/>
                  <w:marTop w:val="0"/>
                  <w:marBottom w:val="0"/>
                  <w:divBdr>
                    <w:top w:val="none" w:sz="0" w:space="0" w:color="auto"/>
                    <w:left w:val="none" w:sz="0" w:space="0" w:color="auto"/>
                    <w:bottom w:val="none" w:sz="0" w:space="0" w:color="auto"/>
                    <w:right w:val="none" w:sz="0" w:space="0" w:color="auto"/>
                  </w:divBdr>
                  <w:divsChild>
                    <w:div w:id="13262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15294">
      <w:bodyDiv w:val="1"/>
      <w:marLeft w:val="0"/>
      <w:marRight w:val="0"/>
      <w:marTop w:val="0"/>
      <w:marBottom w:val="0"/>
      <w:divBdr>
        <w:top w:val="none" w:sz="0" w:space="0" w:color="auto"/>
        <w:left w:val="none" w:sz="0" w:space="0" w:color="auto"/>
        <w:bottom w:val="none" w:sz="0" w:space="0" w:color="auto"/>
        <w:right w:val="none" w:sz="0" w:space="0" w:color="auto"/>
      </w:divBdr>
    </w:div>
    <w:div w:id="1065757241">
      <w:bodyDiv w:val="1"/>
      <w:marLeft w:val="0"/>
      <w:marRight w:val="0"/>
      <w:marTop w:val="0"/>
      <w:marBottom w:val="0"/>
      <w:divBdr>
        <w:top w:val="none" w:sz="0" w:space="0" w:color="auto"/>
        <w:left w:val="none" w:sz="0" w:space="0" w:color="auto"/>
        <w:bottom w:val="none" w:sz="0" w:space="0" w:color="auto"/>
        <w:right w:val="none" w:sz="0" w:space="0" w:color="auto"/>
      </w:divBdr>
    </w:div>
    <w:div w:id="1116827534">
      <w:bodyDiv w:val="1"/>
      <w:marLeft w:val="0"/>
      <w:marRight w:val="0"/>
      <w:marTop w:val="0"/>
      <w:marBottom w:val="0"/>
      <w:divBdr>
        <w:top w:val="none" w:sz="0" w:space="0" w:color="auto"/>
        <w:left w:val="none" w:sz="0" w:space="0" w:color="auto"/>
        <w:bottom w:val="none" w:sz="0" w:space="0" w:color="auto"/>
        <w:right w:val="none" w:sz="0" w:space="0" w:color="auto"/>
      </w:divBdr>
    </w:div>
    <w:div w:id="1150751657">
      <w:bodyDiv w:val="1"/>
      <w:marLeft w:val="0"/>
      <w:marRight w:val="0"/>
      <w:marTop w:val="0"/>
      <w:marBottom w:val="0"/>
      <w:divBdr>
        <w:top w:val="none" w:sz="0" w:space="0" w:color="auto"/>
        <w:left w:val="none" w:sz="0" w:space="0" w:color="auto"/>
        <w:bottom w:val="none" w:sz="0" w:space="0" w:color="auto"/>
        <w:right w:val="none" w:sz="0" w:space="0" w:color="auto"/>
      </w:divBdr>
    </w:div>
    <w:div w:id="1169639068">
      <w:bodyDiv w:val="1"/>
      <w:marLeft w:val="0"/>
      <w:marRight w:val="0"/>
      <w:marTop w:val="0"/>
      <w:marBottom w:val="0"/>
      <w:divBdr>
        <w:top w:val="none" w:sz="0" w:space="0" w:color="auto"/>
        <w:left w:val="none" w:sz="0" w:space="0" w:color="auto"/>
        <w:bottom w:val="none" w:sz="0" w:space="0" w:color="auto"/>
        <w:right w:val="none" w:sz="0" w:space="0" w:color="auto"/>
      </w:divBdr>
    </w:div>
    <w:div w:id="1206484158">
      <w:bodyDiv w:val="1"/>
      <w:marLeft w:val="0"/>
      <w:marRight w:val="0"/>
      <w:marTop w:val="0"/>
      <w:marBottom w:val="0"/>
      <w:divBdr>
        <w:top w:val="none" w:sz="0" w:space="0" w:color="auto"/>
        <w:left w:val="none" w:sz="0" w:space="0" w:color="auto"/>
        <w:bottom w:val="none" w:sz="0" w:space="0" w:color="auto"/>
        <w:right w:val="none" w:sz="0" w:space="0" w:color="auto"/>
      </w:divBdr>
    </w:div>
    <w:div w:id="1231423196">
      <w:bodyDiv w:val="1"/>
      <w:marLeft w:val="0"/>
      <w:marRight w:val="0"/>
      <w:marTop w:val="0"/>
      <w:marBottom w:val="0"/>
      <w:divBdr>
        <w:top w:val="none" w:sz="0" w:space="0" w:color="auto"/>
        <w:left w:val="none" w:sz="0" w:space="0" w:color="auto"/>
        <w:bottom w:val="none" w:sz="0" w:space="0" w:color="auto"/>
        <w:right w:val="none" w:sz="0" w:space="0" w:color="auto"/>
      </w:divBdr>
    </w:div>
    <w:div w:id="1267467419">
      <w:bodyDiv w:val="1"/>
      <w:marLeft w:val="0"/>
      <w:marRight w:val="0"/>
      <w:marTop w:val="0"/>
      <w:marBottom w:val="0"/>
      <w:divBdr>
        <w:top w:val="none" w:sz="0" w:space="0" w:color="auto"/>
        <w:left w:val="none" w:sz="0" w:space="0" w:color="auto"/>
        <w:bottom w:val="none" w:sz="0" w:space="0" w:color="auto"/>
        <w:right w:val="none" w:sz="0" w:space="0" w:color="auto"/>
      </w:divBdr>
    </w:div>
    <w:div w:id="1369909435">
      <w:bodyDiv w:val="1"/>
      <w:marLeft w:val="0"/>
      <w:marRight w:val="0"/>
      <w:marTop w:val="0"/>
      <w:marBottom w:val="0"/>
      <w:divBdr>
        <w:top w:val="none" w:sz="0" w:space="0" w:color="auto"/>
        <w:left w:val="none" w:sz="0" w:space="0" w:color="auto"/>
        <w:bottom w:val="none" w:sz="0" w:space="0" w:color="auto"/>
        <w:right w:val="none" w:sz="0" w:space="0" w:color="auto"/>
      </w:divBdr>
    </w:div>
    <w:div w:id="1399787059">
      <w:bodyDiv w:val="1"/>
      <w:marLeft w:val="0"/>
      <w:marRight w:val="0"/>
      <w:marTop w:val="0"/>
      <w:marBottom w:val="0"/>
      <w:divBdr>
        <w:top w:val="none" w:sz="0" w:space="0" w:color="auto"/>
        <w:left w:val="none" w:sz="0" w:space="0" w:color="auto"/>
        <w:bottom w:val="none" w:sz="0" w:space="0" w:color="auto"/>
        <w:right w:val="none" w:sz="0" w:space="0" w:color="auto"/>
      </w:divBdr>
    </w:div>
    <w:div w:id="1424758812">
      <w:bodyDiv w:val="1"/>
      <w:marLeft w:val="0"/>
      <w:marRight w:val="0"/>
      <w:marTop w:val="0"/>
      <w:marBottom w:val="0"/>
      <w:divBdr>
        <w:top w:val="none" w:sz="0" w:space="0" w:color="auto"/>
        <w:left w:val="none" w:sz="0" w:space="0" w:color="auto"/>
        <w:bottom w:val="none" w:sz="0" w:space="0" w:color="auto"/>
        <w:right w:val="none" w:sz="0" w:space="0" w:color="auto"/>
      </w:divBdr>
    </w:div>
    <w:div w:id="1435634809">
      <w:bodyDiv w:val="1"/>
      <w:marLeft w:val="0"/>
      <w:marRight w:val="0"/>
      <w:marTop w:val="0"/>
      <w:marBottom w:val="0"/>
      <w:divBdr>
        <w:top w:val="none" w:sz="0" w:space="0" w:color="auto"/>
        <w:left w:val="none" w:sz="0" w:space="0" w:color="auto"/>
        <w:bottom w:val="none" w:sz="0" w:space="0" w:color="auto"/>
        <w:right w:val="none" w:sz="0" w:space="0" w:color="auto"/>
      </w:divBdr>
    </w:div>
    <w:div w:id="1527710994">
      <w:bodyDiv w:val="1"/>
      <w:marLeft w:val="0"/>
      <w:marRight w:val="0"/>
      <w:marTop w:val="0"/>
      <w:marBottom w:val="0"/>
      <w:divBdr>
        <w:top w:val="none" w:sz="0" w:space="0" w:color="auto"/>
        <w:left w:val="none" w:sz="0" w:space="0" w:color="auto"/>
        <w:bottom w:val="none" w:sz="0" w:space="0" w:color="auto"/>
        <w:right w:val="none" w:sz="0" w:space="0" w:color="auto"/>
      </w:divBdr>
    </w:div>
    <w:div w:id="1562521776">
      <w:bodyDiv w:val="1"/>
      <w:marLeft w:val="0"/>
      <w:marRight w:val="0"/>
      <w:marTop w:val="0"/>
      <w:marBottom w:val="0"/>
      <w:divBdr>
        <w:top w:val="none" w:sz="0" w:space="0" w:color="auto"/>
        <w:left w:val="none" w:sz="0" w:space="0" w:color="auto"/>
        <w:bottom w:val="none" w:sz="0" w:space="0" w:color="auto"/>
        <w:right w:val="none" w:sz="0" w:space="0" w:color="auto"/>
      </w:divBdr>
    </w:div>
    <w:div w:id="1610308491">
      <w:bodyDiv w:val="1"/>
      <w:marLeft w:val="0"/>
      <w:marRight w:val="0"/>
      <w:marTop w:val="0"/>
      <w:marBottom w:val="0"/>
      <w:divBdr>
        <w:top w:val="none" w:sz="0" w:space="0" w:color="auto"/>
        <w:left w:val="none" w:sz="0" w:space="0" w:color="auto"/>
        <w:bottom w:val="none" w:sz="0" w:space="0" w:color="auto"/>
        <w:right w:val="none" w:sz="0" w:space="0" w:color="auto"/>
      </w:divBdr>
    </w:div>
    <w:div w:id="1626156490">
      <w:bodyDiv w:val="1"/>
      <w:marLeft w:val="0"/>
      <w:marRight w:val="0"/>
      <w:marTop w:val="0"/>
      <w:marBottom w:val="0"/>
      <w:divBdr>
        <w:top w:val="none" w:sz="0" w:space="0" w:color="auto"/>
        <w:left w:val="none" w:sz="0" w:space="0" w:color="auto"/>
        <w:bottom w:val="none" w:sz="0" w:space="0" w:color="auto"/>
        <w:right w:val="none" w:sz="0" w:space="0" w:color="auto"/>
      </w:divBdr>
    </w:div>
    <w:div w:id="1688677394">
      <w:bodyDiv w:val="1"/>
      <w:marLeft w:val="0"/>
      <w:marRight w:val="0"/>
      <w:marTop w:val="0"/>
      <w:marBottom w:val="0"/>
      <w:divBdr>
        <w:top w:val="none" w:sz="0" w:space="0" w:color="auto"/>
        <w:left w:val="none" w:sz="0" w:space="0" w:color="auto"/>
        <w:bottom w:val="none" w:sz="0" w:space="0" w:color="auto"/>
        <w:right w:val="none" w:sz="0" w:space="0" w:color="auto"/>
      </w:divBdr>
    </w:div>
    <w:div w:id="1710370636">
      <w:bodyDiv w:val="1"/>
      <w:marLeft w:val="0"/>
      <w:marRight w:val="0"/>
      <w:marTop w:val="0"/>
      <w:marBottom w:val="0"/>
      <w:divBdr>
        <w:top w:val="none" w:sz="0" w:space="0" w:color="auto"/>
        <w:left w:val="none" w:sz="0" w:space="0" w:color="auto"/>
        <w:bottom w:val="none" w:sz="0" w:space="0" w:color="auto"/>
        <w:right w:val="none" w:sz="0" w:space="0" w:color="auto"/>
      </w:divBdr>
    </w:div>
    <w:div w:id="1727988961">
      <w:bodyDiv w:val="1"/>
      <w:marLeft w:val="0"/>
      <w:marRight w:val="0"/>
      <w:marTop w:val="0"/>
      <w:marBottom w:val="0"/>
      <w:divBdr>
        <w:top w:val="none" w:sz="0" w:space="0" w:color="auto"/>
        <w:left w:val="none" w:sz="0" w:space="0" w:color="auto"/>
        <w:bottom w:val="none" w:sz="0" w:space="0" w:color="auto"/>
        <w:right w:val="none" w:sz="0" w:space="0" w:color="auto"/>
      </w:divBdr>
    </w:div>
    <w:div w:id="1737778941">
      <w:bodyDiv w:val="1"/>
      <w:marLeft w:val="0"/>
      <w:marRight w:val="0"/>
      <w:marTop w:val="0"/>
      <w:marBottom w:val="0"/>
      <w:divBdr>
        <w:top w:val="none" w:sz="0" w:space="0" w:color="auto"/>
        <w:left w:val="none" w:sz="0" w:space="0" w:color="auto"/>
        <w:bottom w:val="none" w:sz="0" w:space="0" w:color="auto"/>
        <w:right w:val="none" w:sz="0" w:space="0" w:color="auto"/>
      </w:divBdr>
    </w:div>
    <w:div w:id="1738354661">
      <w:bodyDiv w:val="1"/>
      <w:marLeft w:val="0"/>
      <w:marRight w:val="0"/>
      <w:marTop w:val="0"/>
      <w:marBottom w:val="0"/>
      <w:divBdr>
        <w:top w:val="none" w:sz="0" w:space="0" w:color="auto"/>
        <w:left w:val="none" w:sz="0" w:space="0" w:color="auto"/>
        <w:bottom w:val="none" w:sz="0" w:space="0" w:color="auto"/>
        <w:right w:val="none" w:sz="0" w:space="0" w:color="auto"/>
      </w:divBdr>
    </w:div>
    <w:div w:id="1768572061">
      <w:bodyDiv w:val="1"/>
      <w:marLeft w:val="0"/>
      <w:marRight w:val="0"/>
      <w:marTop w:val="0"/>
      <w:marBottom w:val="0"/>
      <w:divBdr>
        <w:top w:val="none" w:sz="0" w:space="0" w:color="auto"/>
        <w:left w:val="none" w:sz="0" w:space="0" w:color="auto"/>
        <w:bottom w:val="none" w:sz="0" w:space="0" w:color="auto"/>
        <w:right w:val="none" w:sz="0" w:space="0" w:color="auto"/>
      </w:divBdr>
    </w:div>
    <w:div w:id="1774083072">
      <w:bodyDiv w:val="1"/>
      <w:marLeft w:val="0"/>
      <w:marRight w:val="0"/>
      <w:marTop w:val="0"/>
      <w:marBottom w:val="0"/>
      <w:divBdr>
        <w:top w:val="none" w:sz="0" w:space="0" w:color="auto"/>
        <w:left w:val="none" w:sz="0" w:space="0" w:color="auto"/>
        <w:bottom w:val="none" w:sz="0" w:space="0" w:color="auto"/>
        <w:right w:val="none" w:sz="0" w:space="0" w:color="auto"/>
      </w:divBdr>
    </w:div>
    <w:div w:id="1797210518">
      <w:bodyDiv w:val="1"/>
      <w:marLeft w:val="0"/>
      <w:marRight w:val="0"/>
      <w:marTop w:val="0"/>
      <w:marBottom w:val="0"/>
      <w:divBdr>
        <w:top w:val="none" w:sz="0" w:space="0" w:color="auto"/>
        <w:left w:val="none" w:sz="0" w:space="0" w:color="auto"/>
        <w:bottom w:val="none" w:sz="0" w:space="0" w:color="auto"/>
        <w:right w:val="none" w:sz="0" w:space="0" w:color="auto"/>
      </w:divBdr>
    </w:div>
    <w:div w:id="1942369267">
      <w:bodyDiv w:val="1"/>
      <w:marLeft w:val="0"/>
      <w:marRight w:val="0"/>
      <w:marTop w:val="0"/>
      <w:marBottom w:val="0"/>
      <w:divBdr>
        <w:top w:val="none" w:sz="0" w:space="0" w:color="auto"/>
        <w:left w:val="none" w:sz="0" w:space="0" w:color="auto"/>
        <w:bottom w:val="none" w:sz="0" w:space="0" w:color="auto"/>
        <w:right w:val="none" w:sz="0" w:space="0" w:color="auto"/>
      </w:divBdr>
    </w:div>
    <w:div w:id="1959556656">
      <w:bodyDiv w:val="1"/>
      <w:marLeft w:val="0"/>
      <w:marRight w:val="0"/>
      <w:marTop w:val="0"/>
      <w:marBottom w:val="0"/>
      <w:divBdr>
        <w:top w:val="none" w:sz="0" w:space="0" w:color="auto"/>
        <w:left w:val="none" w:sz="0" w:space="0" w:color="auto"/>
        <w:bottom w:val="none" w:sz="0" w:space="0" w:color="auto"/>
        <w:right w:val="none" w:sz="0" w:space="0" w:color="auto"/>
      </w:divBdr>
    </w:div>
    <w:div w:id="1967349385">
      <w:bodyDiv w:val="1"/>
      <w:marLeft w:val="0"/>
      <w:marRight w:val="0"/>
      <w:marTop w:val="0"/>
      <w:marBottom w:val="0"/>
      <w:divBdr>
        <w:top w:val="none" w:sz="0" w:space="0" w:color="auto"/>
        <w:left w:val="none" w:sz="0" w:space="0" w:color="auto"/>
        <w:bottom w:val="none" w:sz="0" w:space="0" w:color="auto"/>
        <w:right w:val="none" w:sz="0" w:space="0" w:color="auto"/>
      </w:divBdr>
    </w:div>
    <w:div w:id="2020041521">
      <w:bodyDiv w:val="1"/>
      <w:marLeft w:val="0"/>
      <w:marRight w:val="0"/>
      <w:marTop w:val="0"/>
      <w:marBottom w:val="0"/>
      <w:divBdr>
        <w:top w:val="none" w:sz="0" w:space="0" w:color="auto"/>
        <w:left w:val="none" w:sz="0" w:space="0" w:color="auto"/>
        <w:bottom w:val="none" w:sz="0" w:space="0" w:color="auto"/>
        <w:right w:val="none" w:sz="0" w:space="0" w:color="auto"/>
      </w:divBdr>
    </w:div>
    <w:div w:id="20379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pappro@cd-actioncontrelafaim.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dlog@cd-actioncontrelafaim.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ataviz.vam.wfp.org/economic_explorer/prices" TargetMode="External"/><Relationship Id="rId1" Type="http://schemas.openxmlformats.org/officeDocument/2006/relationships/hyperlink" Target="https://reliefweb.int/sites/reliefweb.int/files/resources/COD_Nutri_MCG_RetardCroiss_3L_201909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28E5CFC0BA749AE78EE313B6F509B" ma:contentTypeVersion="10" ma:contentTypeDescription="Crée un document." ma:contentTypeScope="" ma:versionID="16d4f1e11edccf6e1ec03b8f0352cda2">
  <xsd:schema xmlns:xsd="http://www.w3.org/2001/XMLSchema" xmlns:xs="http://www.w3.org/2001/XMLSchema" xmlns:p="http://schemas.microsoft.com/office/2006/metadata/properties" xmlns:ns3="25cdf1ab-1501-482e-b871-ac815b6aa2e6" xmlns:ns4="4ed775cc-856d-4208-99a4-846434f7f0f2" targetNamespace="http://schemas.microsoft.com/office/2006/metadata/properties" ma:root="true" ma:fieldsID="a059e561e11c0f0f0ae3e922751fb05e" ns3:_="" ns4:_="">
    <xsd:import namespace="25cdf1ab-1501-482e-b871-ac815b6aa2e6"/>
    <xsd:import namespace="4ed775cc-856d-4208-99a4-846434f7f0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df1ab-1501-482e-b871-ac815b6aa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775cc-856d-4208-99a4-846434f7f0f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79BF-E5BB-4CC9-9759-95ED76C7A0B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ed775cc-856d-4208-99a4-846434f7f0f2"/>
    <ds:schemaRef ds:uri="25cdf1ab-1501-482e-b871-ac815b6aa2e6"/>
    <ds:schemaRef ds:uri="http://www.w3.org/XML/1998/namespace"/>
  </ds:schemaRefs>
</ds:datastoreItem>
</file>

<file path=customXml/itemProps2.xml><?xml version="1.0" encoding="utf-8"?>
<ds:datastoreItem xmlns:ds="http://schemas.openxmlformats.org/officeDocument/2006/customXml" ds:itemID="{2774654E-04F4-455B-9758-06744BECC7A1}">
  <ds:schemaRefs>
    <ds:schemaRef ds:uri="http://schemas.microsoft.com/sharepoint/v3/contenttype/forms"/>
  </ds:schemaRefs>
</ds:datastoreItem>
</file>

<file path=customXml/itemProps3.xml><?xml version="1.0" encoding="utf-8"?>
<ds:datastoreItem xmlns:ds="http://schemas.openxmlformats.org/officeDocument/2006/customXml" ds:itemID="{FF6FC8B5-0FF0-45F2-8406-E00C3808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df1ab-1501-482e-b871-ac815b6aa2e6"/>
    <ds:schemaRef ds:uri="4ed775cc-856d-4208-99a4-846434f7f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58210-F7F7-4C46-8121-5291B493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4575</Words>
  <Characters>25167</Characters>
  <Application>Microsoft Office Word</Application>
  <DocSecurity>0</DocSecurity>
  <Lines>209</Lines>
  <Paragraphs>59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ACF</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Ramones</dc:creator>
  <cp:lastModifiedBy>Leila Libeau</cp:lastModifiedBy>
  <cp:revision>3</cp:revision>
  <cp:lastPrinted>2018-05-14T09:55:00Z</cp:lastPrinted>
  <dcterms:created xsi:type="dcterms:W3CDTF">2020-12-02T08:43:00Z</dcterms:created>
  <dcterms:modified xsi:type="dcterms:W3CDTF">2020-12-02T09:37:00Z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0x010100C2528E5CFC0BA749AE78EE313B6F509B</vt:lpwstr>
  </property>
</Properties>
</file>