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59FD5" w14:textId="77777777" w:rsidR="00223967" w:rsidRPr="00882143" w:rsidRDefault="00223967" w:rsidP="00C05156">
      <w:pPr>
        <w:jc w:val="center"/>
        <w:rPr>
          <w:b/>
          <w:sz w:val="28"/>
          <w:szCs w:val="28"/>
        </w:rPr>
      </w:pPr>
      <w:r w:rsidRPr="00882143">
        <w:rPr>
          <w:b/>
          <w:sz w:val="28"/>
          <w:szCs w:val="28"/>
        </w:rPr>
        <w:t>Termes de références – RCA Bangui</w:t>
      </w:r>
    </w:p>
    <w:p w14:paraId="7021ABE2" w14:textId="4696709A" w:rsidR="00223967" w:rsidRDefault="00C351B3" w:rsidP="00C05156">
      <w:pPr>
        <w:pStyle w:val="Titre1"/>
        <w:numPr>
          <w:ilvl w:val="0"/>
          <w:numId w:val="0"/>
        </w:numPr>
        <w:ind w:left="360" w:hanging="360"/>
        <w:jc w:val="center"/>
      </w:pPr>
      <w:r>
        <w:t>EVALUATION DU COUT DE LA PRISE EN CHARGE MAS A L’UNT DU COMPLEXE UNIVERSITAIRE PEDIATRIQUE DE BANGUI</w:t>
      </w:r>
    </w:p>
    <w:p w14:paraId="56CBE088" w14:textId="77777777" w:rsidR="00223967" w:rsidRPr="00223967" w:rsidRDefault="00223967" w:rsidP="00223967">
      <w:pPr>
        <w:rPr>
          <w:b/>
        </w:rPr>
      </w:pPr>
    </w:p>
    <w:p w14:paraId="66719CBE" w14:textId="77777777" w:rsidR="00223967" w:rsidRPr="00223967" w:rsidRDefault="00223967" w:rsidP="00223967">
      <w:r w:rsidRPr="00F421E4">
        <w:rPr>
          <w:b/>
          <w:color w:val="0070C0"/>
        </w:rPr>
        <w:t>Titre</w:t>
      </w:r>
      <w:r w:rsidRPr="00F421E4">
        <w:rPr>
          <w:color w:val="0070C0"/>
        </w:rPr>
        <w:t xml:space="preserve"> : </w:t>
      </w:r>
      <w:r w:rsidRPr="00223967">
        <w:t xml:space="preserve">Consultant international  </w:t>
      </w:r>
    </w:p>
    <w:p w14:paraId="2F970EF9" w14:textId="77777777" w:rsidR="00223967" w:rsidRPr="00223967" w:rsidRDefault="00223967" w:rsidP="00223967">
      <w:r w:rsidRPr="00F421E4">
        <w:rPr>
          <w:b/>
          <w:color w:val="0070C0"/>
        </w:rPr>
        <w:t>Secteur</w:t>
      </w:r>
      <w:r w:rsidRPr="00F421E4">
        <w:rPr>
          <w:color w:val="0070C0"/>
        </w:rPr>
        <w:t> </w:t>
      </w:r>
      <w:r w:rsidRPr="00223967">
        <w:t>: Santé et Nutrition</w:t>
      </w:r>
    </w:p>
    <w:p w14:paraId="51263A27" w14:textId="77777777" w:rsidR="00223967" w:rsidRPr="00223967" w:rsidRDefault="00223967" w:rsidP="00223967">
      <w:r w:rsidRPr="00F421E4">
        <w:rPr>
          <w:b/>
          <w:color w:val="0070C0"/>
        </w:rPr>
        <w:t>Lieu d’affectation</w:t>
      </w:r>
      <w:r w:rsidRPr="00F421E4">
        <w:rPr>
          <w:color w:val="0070C0"/>
        </w:rPr>
        <w:t xml:space="preserve"> : </w:t>
      </w:r>
      <w:r w:rsidRPr="00223967">
        <w:t>Bangui</w:t>
      </w:r>
    </w:p>
    <w:p w14:paraId="4291BFE3" w14:textId="242C0DE1" w:rsidR="00223967" w:rsidRPr="00223967" w:rsidRDefault="00223967" w:rsidP="00223967">
      <w:r w:rsidRPr="00F421E4">
        <w:rPr>
          <w:b/>
          <w:color w:val="0070C0"/>
        </w:rPr>
        <w:t>Durée</w:t>
      </w:r>
      <w:r w:rsidRPr="00F421E4">
        <w:rPr>
          <w:color w:val="0070C0"/>
        </w:rPr>
        <w:t xml:space="preserve"> : </w:t>
      </w:r>
      <w:r w:rsidR="00A32BA1">
        <w:t>40 jours</w:t>
      </w:r>
      <w:r w:rsidRPr="00223967">
        <w:t xml:space="preserve"> </w:t>
      </w:r>
    </w:p>
    <w:p w14:paraId="63E99CC6" w14:textId="255B58C3" w:rsidR="00223967" w:rsidRDefault="00223967" w:rsidP="00223967">
      <w:bookmarkStart w:id="0" w:name="_GoBack"/>
      <w:bookmarkEnd w:id="0"/>
      <w:r w:rsidRPr="00F421E4">
        <w:rPr>
          <w:b/>
          <w:color w:val="0070C0"/>
        </w:rPr>
        <w:t>Financement :</w:t>
      </w:r>
      <w:r w:rsidRPr="00F421E4">
        <w:rPr>
          <w:color w:val="0070C0"/>
        </w:rPr>
        <w:t xml:space="preserve"> </w:t>
      </w:r>
      <w:proofErr w:type="spellStart"/>
      <w:r w:rsidRPr="00223967">
        <w:t>Bekou</w:t>
      </w:r>
      <w:proofErr w:type="spellEnd"/>
    </w:p>
    <w:p w14:paraId="3C68EE48" w14:textId="2BD42395" w:rsidR="000945B2" w:rsidRDefault="000945B2" w:rsidP="00223967">
      <w:pPr>
        <w:rPr>
          <w:b/>
          <w:color w:val="0070C0"/>
        </w:rPr>
      </w:pPr>
      <w:r>
        <w:rPr>
          <w:b/>
          <w:color w:val="0070C0"/>
        </w:rPr>
        <w:t>Comment postuler :</w:t>
      </w:r>
      <w:r w:rsidR="00A71D2C">
        <w:rPr>
          <w:b/>
          <w:color w:val="0070C0"/>
        </w:rPr>
        <w:t xml:space="preserve"> </w:t>
      </w:r>
      <w:r w:rsidR="00A71D2C">
        <w:t>Le dossier d’offre doit être composé d’une offre technique et financière détaillées.</w:t>
      </w:r>
    </w:p>
    <w:p w14:paraId="0A427A03" w14:textId="5D971172" w:rsidR="000945B2" w:rsidRPr="000945B2" w:rsidRDefault="000945B2" w:rsidP="000945B2">
      <w:r w:rsidRPr="000945B2">
        <w:t>L’offre technique (</w:t>
      </w:r>
      <w:r w:rsidR="00A71D2C" w:rsidRPr="00A71D2C">
        <w:t xml:space="preserve">6 </w:t>
      </w:r>
      <w:r w:rsidRPr="000945B2">
        <w:t>pages maximum) présentera de manière succincte :</w:t>
      </w:r>
    </w:p>
    <w:p w14:paraId="334F7B30" w14:textId="77777777" w:rsidR="000945B2" w:rsidRPr="000945B2" w:rsidRDefault="000945B2" w:rsidP="000945B2">
      <w:pPr>
        <w:pStyle w:val="Paragraphedeliste"/>
        <w:numPr>
          <w:ilvl w:val="0"/>
          <w:numId w:val="18"/>
        </w:numPr>
        <w:spacing w:after="0" w:line="240" w:lineRule="auto"/>
        <w:contextualSpacing w:val="0"/>
        <w:jc w:val="left"/>
        <w:rPr>
          <w:rFonts w:cs="Times New Roman"/>
        </w:rPr>
      </w:pPr>
      <w:r w:rsidRPr="000945B2">
        <w:rPr>
          <w:rFonts w:cs="Times New Roman"/>
        </w:rPr>
        <w:t>La compréhension des termes de référence selon le consultant ;</w:t>
      </w:r>
    </w:p>
    <w:p w14:paraId="0B35BFD3" w14:textId="77777777" w:rsidR="000945B2" w:rsidRPr="000945B2" w:rsidRDefault="000945B2" w:rsidP="000945B2">
      <w:pPr>
        <w:pStyle w:val="Paragraphedeliste"/>
        <w:numPr>
          <w:ilvl w:val="0"/>
          <w:numId w:val="18"/>
        </w:numPr>
        <w:spacing w:after="0" w:line="240" w:lineRule="auto"/>
        <w:contextualSpacing w:val="0"/>
        <w:jc w:val="left"/>
        <w:rPr>
          <w:rFonts w:cs="Times New Roman"/>
        </w:rPr>
      </w:pPr>
      <w:r w:rsidRPr="000945B2">
        <w:rPr>
          <w:rFonts w:cs="Times New Roman"/>
        </w:rPr>
        <w:t>Les méthodologies et approches proposés au regard des objectifs ;</w:t>
      </w:r>
    </w:p>
    <w:p w14:paraId="280CBDE5" w14:textId="77777777" w:rsidR="000945B2" w:rsidRPr="000945B2" w:rsidRDefault="000945B2" w:rsidP="000945B2">
      <w:pPr>
        <w:pStyle w:val="Paragraphedeliste"/>
        <w:numPr>
          <w:ilvl w:val="0"/>
          <w:numId w:val="18"/>
        </w:numPr>
        <w:spacing w:after="0" w:line="240" w:lineRule="auto"/>
        <w:contextualSpacing w:val="0"/>
        <w:jc w:val="left"/>
        <w:rPr>
          <w:rFonts w:cs="Times New Roman"/>
        </w:rPr>
      </w:pPr>
      <w:r w:rsidRPr="000945B2">
        <w:rPr>
          <w:rFonts w:cs="Times New Roman"/>
        </w:rPr>
        <w:t>Un plan de travail incluant un chronogramme prévisionnel ;</w:t>
      </w:r>
    </w:p>
    <w:p w14:paraId="0BDDD588" w14:textId="62DB09D5" w:rsidR="000945B2" w:rsidRPr="000945B2" w:rsidRDefault="000945B2" w:rsidP="000945B2">
      <w:pPr>
        <w:pStyle w:val="Paragraphedeliste"/>
        <w:numPr>
          <w:ilvl w:val="0"/>
          <w:numId w:val="18"/>
        </w:numPr>
        <w:spacing w:after="0" w:line="240" w:lineRule="auto"/>
        <w:contextualSpacing w:val="0"/>
        <w:jc w:val="left"/>
        <w:rPr>
          <w:rFonts w:cs="Times New Roman"/>
        </w:rPr>
      </w:pPr>
      <w:r w:rsidRPr="000945B2">
        <w:rPr>
          <w:rFonts w:cs="Times New Roman"/>
        </w:rPr>
        <w:t>Une brève présentation du consultant</w:t>
      </w:r>
      <w:r w:rsidR="00A71D2C">
        <w:rPr>
          <w:rFonts w:cs="Times New Roman"/>
        </w:rPr>
        <w:t xml:space="preserve"> avec son</w:t>
      </w:r>
      <w:r w:rsidRPr="000945B2">
        <w:rPr>
          <w:rFonts w:cs="Times New Roman"/>
        </w:rPr>
        <w:t xml:space="preserve"> expérience professionnelle (CV annexé).</w:t>
      </w:r>
    </w:p>
    <w:p w14:paraId="585585FE" w14:textId="77777777" w:rsidR="000945B2" w:rsidRPr="000945B2" w:rsidRDefault="000945B2" w:rsidP="000945B2"/>
    <w:p w14:paraId="640234F7" w14:textId="77777777" w:rsidR="000945B2" w:rsidRPr="000945B2" w:rsidRDefault="000945B2" w:rsidP="000945B2">
      <w:r w:rsidRPr="000945B2">
        <w:t>L’offre financière présentera :</w:t>
      </w:r>
    </w:p>
    <w:p w14:paraId="43B6E3D0" w14:textId="77777777" w:rsidR="000945B2" w:rsidRPr="000945B2" w:rsidRDefault="000945B2" w:rsidP="000945B2">
      <w:pPr>
        <w:pStyle w:val="Paragraphedeliste"/>
        <w:numPr>
          <w:ilvl w:val="0"/>
          <w:numId w:val="19"/>
        </w:numPr>
        <w:spacing w:after="0" w:line="240" w:lineRule="auto"/>
        <w:contextualSpacing w:val="0"/>
        <w:jc w:val="left"/>
        <w:rPr>
          <w:rFonts w:cs="Times New Roman"/>
        </w:rPr>
      </w:pPr>
      <w:r w:rsidRPr="000945B2">
        <w:rPr>
          <w:rFonts w:cs="Times New Roman"/>
        </w:rPr>
        <w:t>Les détails des coûts des honoraires du consultant par rapport aux différentes phases de la mission;</w:t>
      </w:r>
    </w:p>
    <w:p w14:paraId="5A4E749C" w14:textId="09888299" w:rsidR="000945B2" w:rsidRPr="000945B2" w:rsidRDefault="000945B2" w:rsidP="000945B2">
      <w:pPr>
        <w:pStyle w:val="Paragraphedeliste"/>
        <w:numPr>
          <w:ilvl w:val="0"/>
          <w:numId w:val="19"/>
        </w:numPr>
        <w:spacing w:after="0" w:line="240" w:lineRule="auto"/>
        <w:contextualSpacing w:val="0"/>
        <w:jc w:val="left"/>
        <w:rPr>
          <w:rFonts w:cs="Times New Roman"/>
        </w:rPr>
      </w:pPr>
      <w:r w:rsidRPr="000945B2">
        <w:rPr>
          <w:rFonts w:cs="Times New Roman"/>
        </w:rPr>
        <w:t>Le dé</w:t>
      </w:r>
      <w:r w:rsidR="00A71D2C">
        <w:rPr>
          <w:rFonts w:cs="Times New Roman"/>
        </w:rPr>
        <w:t xml:space="preserve">tail des coûts des per diem du consultant </w:t>
      </w:r>
      <w:r w:rsidRPr="000945B2">
        <w:rPr>
          <w:rFonts w:cs="Times New Roman"/>
        </w:rPr>
        <w:t>et des coûts de déplacement ;</w:t>
      </w:r>
    </w:p>
    <w:p w14:paraId="368A401E" w14:textId="7CDAD298" w:rsidR="000945B2" w:rsidRPr="000945B2" w:rsidRDefault="000945B2" w:rsidP="000945B2">
      <w:pPr>
        <w:pStyle w:val="Paragraphedeliste"/>
        <w:numPr>
          <w:ilvl w:val="0"/>
          <w:numId w:val="19"/>
        </w:numPr>
        <w:spacing w:after="0" w:line="240" w:lineRule="auto"/>
        <w:contextualSpacing w:val="0"/>
        <w:jc w:val="left"/>
        <w:rPr>
          <w:rFonts w:cs="Times New Roman"/>
        </w:rPr>
      </w:pPr>
      <w:r w:rsidRPr="000945B2">
        <w:rPr>
          <w:rFonts w:cs="Times New Roman"/>
        </w:rPr>
        <w:t xml:space="preserve">La proposition des modalités de paiement. La proposition d’offre financière doit se situer dans une enveloppe de </w:t>
      </w:r>
      <w:r w:rsidR="000629D9">
        <w:t xml:space="preserve">14 000 EUR HT </w:t>
      </w:r>
      <w:r w:rsidRPr="000945B2">
        <w:rPr>
          <w:rFonts w:cs="Times New Roman"/>
        </w:rPr>
        <w:t>EUR HT au maximum.</w:t>
      </w:r>
    </w:p>
    <w:p w14:paraId="4F24B1EA" w14:textId="77777777" w:rsidR="00A71D2C" w:rsidRDefault="00A71D2C" w:rsidP="000945B2"/>
    <w:p w14:paraId="1375B6B9" w14:textId="0AB563BF" w:rsidR="000629D9" w:rsidRDefault="00A71D2C" w:rsidP="000945B2">
      <w:r>
        <w:t xml:space="preserve">Les offres seront transmises, en version électronique au plus tard </w:t>
      </w:r>
      <w:r w:rsidRPr="000629D9">
        <w:rPr>
          <w:rStyle w:val="lev"/>
        </w:rPr>
        <w:t xml:space="preserve">le </w:t>
      </w:r>
      <w:r w:rsidR="000629D9">
        <w:rPr>
          <w:rStyle w:val="lev"/>
        </w:rPr>
        <w:t>8</w:t>
      </w:r>
      <w:r w:rsidR="000629D9" w:rsidRPr="000629D9">
        <w:rPr>
          <w:rStyle w:val="lev"/>
        </w:rPr>
        <w:t xml:space="preserve"> septembre</w:t>
      </w:r>
      <w:r w:rsidR="000629D9">
        <w:rPr>
          <w:rStyle w:val="lev"/>
        </w:rPr>
        <w:t xml:space="preserve"> </w:t>
      </w:r>
      <w:r w:rsidRPr="000629D9">
        <w:rPr>
          <w:rStyle w:val="lev"/>
        </w:rPr>
        <w:t>2019</w:t>
      </w:r>
      <w:r w:rsidR="000629D9">
        <w:t xml:space="preserve"> aux adresses suivantes : </w:t>
      </w:r>
      <w:hyperlink r:id="rId10" w:history="1">
        <w:r w:rsidR="000629D9" w:rsidRPr="00EF7398">
          <w:rPr>
            <w:rStyle w:val="Lienhypertexte"/>
          </w:rPr>
          <w:t>cantoine@actioncontrelafaim.org</w:t>
        </w:r>
      </w:hyperlink>
      <w:r w:rsidR="000629D9">
        <w:t xml:space="preserve"> ; </w:t>
      </w:r>
      <w:hyperlink r:id="rId11" w:history="1">
        <w:r w:rsidR="000629D9" w:rsidRPr="00EF7398">
          <w:rPr>
            <w:rStyle w:val="Lienhypertexte"/>
          </w:rPr>
          <w:t>ofreire@actioncontrelafaim.org</w:t>
        </w:r>
      </w:hyperlink>
    </w:p>
    <w:p w14:paraId="6BC05FBD" w14:textId="77777777" w:rsidR="000629D9" w:rsidRDefault="000629D9" w:rsidP="000945B2"/>
    <w:p w14:paraId="1D83E418" w14:textId="149D39C5" w:rsidR="00223967" w:rsidRPr="0005180B" w:rsidRDefault="00223967" w:rsidP="00223967">
      <w:pPr>
        <w:pStyle w:val="Titre1"/>
      </w:pPr>
      <w:r w:rsidRPr="00223967">
        <w:t>Contexte et Justification</w:t>
      </w:r>
    </w:p>
    <w:p w14:paraId="67D23B51" w14:textId="77777777" w:rsidR="004225FA" w:rsidRPr="00223967" w:rsidRDefault="00223967" w:rsidP="00223967">
      <w:r w:rsidRPr="00223967">
        <w:t>La RCA est l’un des pays les plu</w:t>
      </w:r>
      <w:r w:rsidR="002C53D4">
        <w:t xml:space="preserve">s pauvres au monde ; Elle est </w:t>
      </w:r>
      <w:r w:rsidRPr="00223967">
        <w:t xml:space="preserve">en avant dernière place (188/189) du classement mondial selon l’indice de développement humain de 2018. </w:t>
      </w:r>
    </w:p>
    <w:p w14:paraId="073A8106" w14:textId="77777777" w:rsidR="00223967" w:rsidRPr="00223967" w:rsidRDefault="00223967" w:rsidP="00223967">
      <w:r w:rsidRPr="00223967">
        <w:t>Depuis 2007</w:t>
      </w:r>
      <w:r w:rsidR="000F2479">
        <w:t>, ACF a ouvert la PECMAS au C</w:t>
      </w:r>
      <w:r w:rsidRPr="00223967">
        <w:t xml:space="preserve">omplexe </w:t>
      </w:r>
      <w:proofErr w:type="spellStart"/>
      <w:r w:rsidRPr="00223967">
        <w:t>Pediatrique</w:t>
      </w:r>
      <w:proofErr w:type="spellEnd"/>
      <w:r w:rsidRPr="00223967">
        <w:t xml:space="preserve"> de Bangui. Le Centre hospitalier Universitaire Pédiatrique de Bangui (CHUPB) est le centre de référence et de prise en charge pédiatrique au niveau national. Les proportions de non disponibilité des services curatifs et préventifs dans la prise en charge de la malnutrition, des services pédiatriques, de l’offre de services obstétricaux et de soins liés à la santé de la reproduction sont élevées du fait du manque d’équipements et de </w:t>
      </w:r>
      <w:r w:rsidRPr="00223967">
        <w:lastRenderedPageBreak/>
        <w:t>personnel. Le CPB n’a que très peu de capacités financière, organisationnelle et adminis</w:t>
      </w:r>
      <w:r w:rsidR="000F2479">
        <w:t>trative dédiées à l’UNT</w:t>
      </w:r>
      <w:r w:rsidRPr="00223967">
        <w:t xml:space="preserve">. Peu de fonctionnaires de l’Etat y sont affectés. L’hôpital ne peut indépendamment engager et payer tous les contractuels ce qui renforce un problème majeur de ressources humaines (qualification, nombres, motivation etc.). </w:t>
      </w:r>
    </w:p>
    <w:p w14:paraId="6A747A8D" w14:textId="400F1CC4" w:rsidR="00223967" w:rsidRPr="003945CD" w:rsidRDefault="00223967" w:rsidP="00223967">
      <w:r w:rsidRPr="00223967">
        <w:rPr>
          <w:lang w:val="fr-BE"/>
        </w:rPr>
        <w:t>Dans ce contexte, Action Contre la Faim en Collaboration avec CUAMM développe ce projet dans le CHUPB qui vise à</w:t>
      </w:r>
      <w:r w:rsidRPr="00223967">
        <w:rPr>
          <w:b/>
          <w:lang w:val="fr-BE"/>
        </w:rPr>
        <w:t xml:space="preserve"> améliorer l'état de santé de la population, en particulier les groupes vulnérables comme les enfants, dans une perspective de reprise du système de santé et de reconstruction du pays. </w:t>
      </w:r>
      <w:r w:rsidR="00C5051A" w:rsidRPr="003945CD">
        <w:rPr>
          <w:lang w:val="fr-BE"/>
        </w:rPr>
        <w:t xml:space="preserve">Dans le cadre de ce projet, CUAMM assure la prise en charge des enfants dans les services des urgences </w:t>
      </w:r>
      <w:r w:rsidR="00F06321" w:rsidRPr="003945CD">
        <w:rPr>
          <w:lang w:val="fr-BE"/>
        </w:rPr>
        <w:t>p</w:t>
      </w:r>
      <w:r w:rsidR="00C5051A" w:rsidRPr="003945CD">
        <w:rPr>
          <w:lang w:val="fr-BE"/>
        </w:rPr>
        <w:t xml:space="preserve">édiatriques, de la chirurgie pédiatrique, de la </w:t>
      </w:r>
      <w:r w:rsidR="005B3612" w:rsidRPr="003945CD">
        <w:rPr>
          <w:lang w:val="fr-BE"/>
        </w:rPr>
        <w:t>néonatologie</w:t>
      </w:r>
      <w:r w:rsidR="00C5051A" w:rsidRPr="003945CD">
        <w:rPr>
          <w:lang w:val="fr-BE"/>
        </w:rPr>
        <w:t>, de la pédiatrie générale</w:t>
      </w:r>
      <w:r w:rsidR="005B3612" w:rsidRPr="003945CD">
        <w:rPr>
          <w:lang w:val="fr-BE"/>
        </w:rPr>
        <w:t xml:space="preserve"> intégrant</w:t>
      </w:r>
      <w:r w:rsidR="00C5051A" w:rsidRPr="003945CD">
        <w:rPr>
          <w:lang w:val="fr-BE"/>
        </w:rPr>
        <w:t xml:space="preserve"> les maladies chroniques, tandis Action contre</w:t>
      </w:r>
      <w:r w:rsidR="005B3612" w:rsidRPr="003945CD">
        <w:rPr>
          <w:lang w:val="fr-BE"/>
        </w:rPr>
        <w:t xml:space="preserve"> </w:t>
      </w:r>
      <w:r w:rsidR="00C5051A" w:rsidRPr="003945CD">
        <w:rPr>
          <w:lang w:val="fr-BE"/>
        </w:rPr>
        <w:t xml:space="preserve">la </w:t>
      </w:r>
      <w:r w:rsidR="0005180B">
        <w:rPr>
          <w:lang w:val="fr-BE"/>
        </w:rPr>
        <w:t>F</w:t>
      </w:r>
      <w:r w:rsidR="00C5051A" w:rsidRPr="003945CD">
        <w:rPr>
          <w:lang w:val="fr-BE"/>
        </w:rPr>
        <w:t>aim intervient dans la prise en charge de la malnutrition au c</w:t>
      </w:r>
      <w:r w:rsidR="008D7EAE">
        <w:rPr>
          <w:lang w:val="fr-BE"/>
        </w:rPr>
        <w:t>e</w:t>
      </w:r>
      <w:r w:rsidR="00C5051A" w:rsidRPr="003945CD">
        <w:rPr>
          <w:lang w:val="fr-BE"/>
        </w:rPr>
        <w:t xml:space="preserve">ntre de </w:t>
      </w:r>
      <w:proofErr w:type="spellStart"/>
      <w:r w:rsidR="00C5051A" w:rsidRPr="003945CD">
        <w:rPr>
          <w:lang w:val="fr-BE"/>
        </w:rPr>
        <w:t>re</w:t>
      </w:r>
      <w:proofErr w:type="spellEnd"/>
      <w:r w:rsidR="0005180B">
        <w:rPr>
          <w:lang w:val="fr-BE"/>
        </w:rPr>
        <w:t>-nu</w:t>
      </w:r>
      <w:r w:rsidR="00C5051A" w:rsidRPr="003945CD">
        <w:rPr>
          <w:lang w:val="fr-BE"/>
        </w:rPr>
        <w:t xml:space="preserve">trition </w:t>
      </w:r>
      <w:r w:rsidR="003945CD" w:rsidRPr="003945CD">
        <w:rPr>
          <w:lang w:val="fr-BE"/>
        </w:rPr>
        <w:t>thérapeutique.</w:t>
      </w:r>
    </w:p>
    <w:p w14:paraId="1C854119" w14:textId="1ECF680B" w:rsidR="00223967" w:rsidRPr="00223967" w:rsidRDefault="00BD5DEE" w:rsidP="00223967">
      <w:r>
        <w:rPr>
          <w:lang w:val="fr-BE"/>
        </w:rPr>
        <w:t>M</w:t>
      </w:r>
      <w:r w:rsidR="000F2479">
        <w:rPr>
          <w:lang w:val="fr-BE"/>
        </w:rPr>
        <w:t>algré les bonnes performances</w:t>
      </w:r>
      <w:r w:rsidR="00223967" w:rsidRPr="00223967">
        <w:rPr>
          <w:lang w:val="fr-BE"/>
        </w:rPr>
        <w:t xml:space="preserve"> obtenu</w:t>
      </w:r>
      <w:r w:rsidR="00FB7273">
        <w:rPr>
          <w:lang w:val="fr-BE"/>
        </w:rPr>
        <w:t>e</w:t>
      </w:r>
      <w:r w:rsidR="00223967" w:rsidRPr="00223967">
        <w:rPr>
          <w:lang w:val="fr-BE"/>
        </w:rPr>
        <w:t>s après la crise</w:t>
      </w:r>
      <w:r w:rsidR="00FB7273">
        <w:rPr>
          <w:lang w:val="fr-BE"/>
        </w:rPr>
        <w:t xml:space="preserve"> de</w:t>
      </w:r>
      <w:r w:rsidR="00223967" w:rsidRPr="00223967">
        <w:rPr>
          <w:lang w:val="fr-BE"/>
        </w:rPr>
        <w:t xml:space="preserve"> 2012-2013, la </w:t>
      </w:r>
      <w:r w:rsidR="00223967" w:rsidRPr="00223967">
        <w:rPr>
          <w:b/>
          <w:lang w:val="fr-BE"/>
        </w:rPr>
        <w:t>prise en charge des urgences vitales au CPB montre encore un niveau de qualité non-optimale</w:t>
      </w:r>
      <w:r w:rsidR="00FB7273">
        <w:rPr>
          <w:lang w:val="fr-BE"/>
        </w:rPr>
        <w:t>, mis</w:t>
      </w:r>
      <w:r w:rsidR="00223967" w:rsidRPr="00223967">
        <w:rPr>
          <w:lang w:val="fr-BE"/>
        </w:rPr>
        <w:t xml:space="preserve"> en évidence par des taux de mortalité préoccupants au niveau de certains services (Taux de Mortalité Néonatologie : 18,2% ; Taux de Mortalité du Soins intensifs</w:t>
      </w:r>
      <w:r w:rsidR="00FB7273">
        <w:rPr>
          <w:lang w:val="fr-BE"/>
        </w:rPr>
        <w:t xml:space="preserve"> et continus : 12,7% en 2017)  La prise en charge dans les services de CHUPB est marquée par une  forte </w:t>
      </w:r>
      <w:r w:rsidR="00223967" w:rsidRPr="00223967">
        <w:rPr>
          <w:lang w:val="fr-BE"/>
        </w:rPr>
        <w:t>dépendance économique et organisationnelle du CHUPB des partenaires d’appui</w:t>
      </w:r>
      <w:r>
        <w:rPr>
          <w:lang w:val="fr-BE"/>
        </w:rPr>
        <w:t xml:space="preserve"> </w:t>
      </w:r>
      <w:r w:rsidR="00223967" w:rsidRPr="00223967">
        <w:rPr>
          <w:lang w:val="fr-BE"/>
        </w:rPr>
        <w:t>( ACF ,CUAMM). Une volonté d’intégration et d’appropriation des activités PECIMAS de l’UN</w:t>
      </w:r>
      <w:r w:rsidR="002C53D4">
        <w:rPr>
          <w:lang w:val="fr-BE"/>
        </w:rPr>
        <w:t>T au sein du CHUPB</w:t>
      </w:r>
      <w:r>
        <w:rPr>
          <w:lang w:val="fr-BE"/>
        </w:rPr>
        <w:t xml:space="preserve"> est amorcée par la Direction du CHUPB</w:t>
      </w:r>
      <w:r w:rsidR="00223967" w:rsidRPr="00223967">
        <w:rPr>
          <w:lang w:val="fr-BE"/>
        </w:rPr>
        <w:t xml:space="preserve">. Afin d’évaluer et consolider les couts liés au fonctionnement du CPB et à la prise en charge de la malnutrition, ACF souhaite </w:t>
      </w:r>
      <w:r w:rsidR="00470F8D">
        <w:rPr>
          <w:lang w:val="fr-BE"/>
        </w:rPr>
        <w:t xml:space="preserve">organiser une </w:t>
      </w:r>
      <w:r w:rsidR="00223967" w:rsidRPr="00223967">
        <w:rPr>
          <w:lang w:val="fr-BE"/>
        </w:rPr>
        <w:t xml:space="preserve">évaluation des </w:t>
      </w:r>
      <w:r w:rsidR="002C53D4" w:rsidRPr="00223967">
        <w:rPr>
          <w:lang w:val="fr-BE"/>
        </w:rPr>
        <w:t>coû</w:t>
      </w:r>
      <w:r w:rsidR="002C53D4">
        <w:rPr>
          <w:lang w:val="fr-BE"/>
        </w:rPr>
        <w:t>t</w:t>
      </w:r>
      <w:r w:rsidR="002C53D4" w:rsidRPr="00223967">
        <w:rPr>
          <w:lang w:val="fr-BE"/>
        </w:rPr>
        <w:t>s</w:t>
      </w:r>
      <w:r w:rsidR="00223967" w:rsidRPr="00223967">
        <w:rPr>
          <w:lang w:val="fr-BE"/>
        </w:rPr>
        <w:t xml:space="preserve"> de l’UNT</w:t>
      </w:r>
      <w:r w:rsidR="002C53D4" w:rsidRPr="00223967">
        <w:rPr>
          <w:lang w:val="fr-BE"/>
        </w:rPr>
        <w:t xml:space="preserve"> ; Cette</w:t>
      </w:r>
      <w:r w:rsidR="00223967" w:rsidRPr="00223967">
        <w:rPr>
          <w:lang w:val="fr-BE"/>
        </w:rPr>
        <w:t xml:space="preserve"> activité devra permettre d’élaborer un plan d’action d’intégration de l’UNT au CHUPB.</w:t>
      </w:r>
    </w:p>
    <w:p w14:paraId="3F1F176D" w14:textId="77777777" w:rsidR="00223967" w:rsidRPr="00223967" w:rsidRDefault="00223967" w:rsidP="00F421E4">
      <w:pPr>
        <w:pStyle w:val="Titre2"/>
      </w:pPr>
      <w:r w:rsidRPr="00223967">
        <w:t>Objectifs général</w:t>
      </w:r>
    </w:p>
    <w:p w14:paraId="7546C5AB" w14:textId="15D7237F" w:rsidR="00F421E4" w:rsidRPr="00F421E4" w:rsidRDefault="00223967" w:rsidP="00F421E4">
      <w:pPr>
        <w:rPr>
          <w:lang w:val="fr-BE"/>
        </w:rPr>
      </w:pPr>
      <w:r w:rsidRPr="00223967">
        <w:t xml:space="preserve">L’objectif de cette consultance est de </w:t>
      </w:r>
      <w:r w:rsidRPr="00223967">
        <w:rPr>
          <w:lang w:val="fr-BE"/>
        </w:rPr>
        <w:t xml:space="preserve">consolider les données sur les coûts de l’UNT liés à ses activités (ressources humaines, financières et matérielles) qui par la suite guideront l’élaboration d’un plan d’intégration de l’UNT au CHUPB. </w:t>
      </w:r>
    </w:p>
    <w:p w14:paraId="014AE144" w14:textId="79798D22" w:rsidR="00223967" w:rsidRPr="00223967" w:rsidRDefault="00223967" w:rsidP="00DE706A">
      <w:pPr>
        <w:pStyle w:val="Titre2"/>
      </w:pPr>
      <w:r w:rsidRPr="00223967">
        <w:t>Objectifs spécifiques</w:t>
      </w:r>
    </w:p>
    <w:p w14:paraId="30B0B171" w14:textId="77777777" w:rsidR="00223967" w:rsidRPr="00223967" w:rsidRDefault="00223967" w:rsidP="00223967">
      <w:r w:rsidRPr="00223967">
        <w:t>Spécifiquement, le consultant international sera chargé de :</w:t>
      </w:r>
    </w:p>
    <w:p w14:paraId="0593F753" w14:textId="2A02C78E" w:rsidR="00223967" w:rsidRPr="00223967" w:rsidRDefault="00223967" w:rsidP="00223967">
      <w:pPr>
        <w:numPr>
          <w:ilvl w:val="0"/>
          <w:numId w:val="8"/>
        </w:numPr>
      </w:pPr>
      <w:r w:rsidRPr="00223967">
        <w:t>Coordonner avec les partenaires techniques et financiers, le ministère de la santé</w:t>
      </w:r>
      <w:r w:rsidR="00192262">
        <w:t xml:space="preserve">, </w:t>
      </w:r>
      <w:r w:rsidRPr="00223967">
        <w:t xml:space="preserve">et les </w:t>
      </w:r>
      <w:proofErr w:type="gramStart"/>
      <w:r w:rsidRPr="00223967">
        <w:t>partenaires</w:t>
      </w:r>
      <w:proofErr w:type="gramEnd"/>
      <w:r w:rsidRPr="00223967">
        <w:t xml:space="preserve"> au niveau opérationnel, la collecte d’informations nécessaire</w:t>
      </w:r>
      <w:r w:rsidR="00BD5DEE">
        <w:t>s</w:t>
      </w:r>
      <w:r w:rsidR="00F06321">
        <w:t xml:space="preserve"> pour l’étude des coûts de l’UNT</w:t>
      </w:r>
      <w:r w:rsidRPr="00223967">
        <w:t xml:space="preserve">. </w:t>
      </w:r>
    </w:p>
    <w:p w14:paraId="1883DDC5" w14:textId="77777777" w:rsidR="00223967" w:rsidRPr="00223967" w:rsidRDefault="00223967" w:rsidP="00223967">
      <w:pPr>
        <w:numPr>
          <w:ilvl w:val="0"/>
          <w:numId w:val="8"/>
        </w:numPr>
      </w:pPr>
      <w:r w:rsidRPr="00223967">
        <w:t xml:space="preserve">Evaluer le niveau d’intégration des acquis de l’intervention pour la structure et les bénéficiaires. </w:t>
      </w:r>
    </w:p>
    <w:p w14:paraId="15DF89A6" w14:textId="472854ED" w:rsidR="00223967" w:rsidRPr="00223967" w:rsidRDefault="00223967" w:rsidP="00223967">
      <w:pPr>
        <w:numPr>
          <w:ilvl w:val="0"/>
          <w:numId w:val="8"/>
        </w:numPr>
      </w:pPr>
      <w:r w:rsidRPr="00223967">
        <w:t>Fournir une expertise technique pour la collecte, l’analyse des données et l’identification des goulots d’étranglement qui pourrai</w:t>
      </w:r>
      <w:r w:rsidR="00877ACA">
        <w:t>en</w:t>
      </w:r>
      <w:r w:rsidRPr="00223967">
        <w:t xml:space="preserve">t limiter l’intégration de l’UNT dans la pédiatrie. </w:t>
      </w:r>
    </w:p>
    <w:p w14:paraId="7B73C269" w14:textId="5DB224C8" w:rsidR="00223967" w:rsidRPr="00223967" w:rsidRDefault="00223967" w:rsidP="00223967">
      <w:pPr>
        <w:numPr>
          <w:ilvl w:val="0"/>
          <w:numId w:val="8"/>
        </w:numPr>
      </w:pPr>
      <w:r w:rsidRPr="00223967">
        <w:t xml:space="preserve">Evaluer le </w:t>
      </w:r>
      <w:r w:rsidR="00F06321" w:rsidRPr="00223967">
        <w:t>coû</w:t>
      </w:r>
      <w:r w:rsidR="00F06321">
        <w:t>t</w:t>
      </w:r>
      <w:r w:rsidRPr="00223967">
        <w:t xml:space="preserve"> du fonctionnement en ressources humaines et logistique de l’UNT</w:t>
      </w:r>
    </w:p>
    <w:p w14:paraId="22F62A6F" w14:textId="68CA6DFC" w:rsidR="00223967" w:rsidRDefault="00223967" w:rsidP="00223967">
      <w:pPr>
        <w:numPr>
          <w:ilvl w:val="0"/>
          <w:numId w:val="8"/>
        </w:numPr>
      </w:pPr>
      <w:r w:rsidRPr="00223967">
        <w:t xml:space="preserve">Evaluer le coût de la pharmacie, du matériel médical et de la maintenance </w:t>
      </w:r>
    </w:p>
    <w:p w14:paraId="38EA4991" w14:textId="641AA10C" w:rsidR="00F06321" w:rsidRPr="00223967" w:rsidRDefault="001B198B" w:rsidP="00DE706A">
      <w:pPr>
        <w:numPr>
          <w:ilvl w:val="0"/>
          <w:numId w:val="8"/>
        </w:numPr>
      </w:pPr>
      <w:r>
        <w:t xml:space="preserve">Evaluer les mécanismes à mettre en œuvre pour </w:t>
      </w:r>
      <w:r w:rsidR="0005180B">
        <w:t>l’</w:t>
      </w:r>
      <w:r>
        <w:t>optimisation de la gestion de pharmacie/ intégration de la pharmacie dans le CPB</w:t>
      </w:r>
    </w:p>
    <w:p w14:paraId="58C6BA91" w14:textId="6A0E4E2E" w:rsidR="00223967" w:rsidRPr="00223967" w:rsidRDefault="00223967" w:rsidP="00223967">
      <w:pPr>
        <w:numPr>
          <w:ilvl w:val="0"/>
          <w:numId w:val="8"/>
        </w:numPr>
      </w:pPr>
      <w:r w:rsidRPr="00223967">
        <w:lastRenderedPageBreak/>
        <w:t>Elaborer un plan d’intégration de l’UNT dans le CHUPB</w:t>
      </w:r>
      <w:r w:rsidR="0005180B">
        <w:t>, prenant en considération le pan nutrition/santé mais également l’existence des activités de Santé Mentale &amp; Pratiques de Soins mises en œuvre par ACF exclusivement</w:t>
      </w:r>
      <w:r w:rsidRPr="00223967">
        <w:t>.</w:t>
      </w:r>
    </w:p>
    <w:p w14:paraId="5AF02923" w14:textId="77777777" w:rsidR="00223967" w:rsidRPr="00223967" w:rsidRDefault="00223967" w:rsidP="00223967">
      <w:pPr>
        <w:numPr>
          <w:ilvl w:val="0"/>
          <w:numId w:val="8"/>
        </w:numPr>
      </w:pPr>
      <w:r w:rsidRPr="00223967">
        <w:t xml:space="preserve">Elaborer un plan d’action </w:t>
      </w:r>
      <w:r w:rsidR="008E3658">
        <w:t xml:space="preserve">qui </w:t>
      </w:r>
      <w:r w:rsidRPr="00223967">
        <w:t xml:space="preserve">dirigera les initiatives d’autonomisation de l’UNT sur le long-terme </w:t>
      </w:r>
    </w:p>
    <w:p w14:paraId="4A670319" w14:textId="77777777" w:rsidR="00223967" w:rsidRPr="00223967" w:rsidRDefault="00223967" w:rsidP="00223967"/>
    <w:p w14:paraId="6CEEB8AF" w14:textId="77777777" w:rsidR="00223967" w:rsidRPr="00223967" w:rsidRDefault="00223967" w:rsidP="00F421E4">
      <w:pPr>
        <w:pStyle w:val="Titre1"/>
      </w:pPr>
      <w:r w:rsidRPr="00223967">
        <w:t>Résultats attendus</w:t>
      </w:r>
    </w:p>
    <w:p w14:paraId="1D301347" w14:textId="70A648D0" w:rsidR="00223967" w:rsidRPr="00223967" w:rsidRDefault="00223967" w:rsidP="00223967">
      <w:pPr>
        <w:numPr>
          <w:ilvl w:val="0"/>
          <w:numId w:val="9"/>
        </w:numPr>
      </w:pPr>
      <w:r w:rsidRPr="00223967">
        <w:t>Un plan de travail clair, raisonnable assorti d’un chronogramme pour la mise en œuvre de l’évaluation,</w:t>
      </w:r>
    </w:p>
    <w:p w14:paraId="58604E74" w14:textId="77777777" w:rsidR="00223967" w:rsidRPr="00223967" w:rsidRDefault="00223967" w:rsidP="00223967">
      <w:pPr>
        <w:numPr>
          <w:ilvl w:val="0"/>
          <w:numId w:val="9"/>
        </w:numPr>
      </w:pPr>
      <w:r w:rsidRPr="00223967">
        <w:t xml:space="preserve">L’organisation de deux </w:t>
      </w:r>
      <w:r w:rsidRPr="00223967">
        <w:rPr>
          <w:lang w:val="fr-BE"/>
        </w:rPr>
        <w:t>ateliers de travail sur la gestion budgétaire de l’UNT au sein du CPB et son intégration progressive dans l’hôpital,</w:t>
      </w:r>
    </w:p>
    <w:p w14:paraId="01AE92CF" w14:textId="77777777" w:rsidR="00223967" w:rsidRPr="00223967" w:rsidRDefault="00223967" w:rsidP="00223967">
      <w:pPr>
        <w:numPr>
          <w:ilvl w:val="0"/>
          <w:numId w:val="9"/>
        </w:numPr>
      </w:pPr>
      <w:r w:rsidRPr="00223967">
        <w:rPr>
          <w:lang w:val="fr-BE"/>
        </w:rPr>
        <w:t>Une restitution de l’évaluation du coût de fonctionnement de l’UNT</w:t>
      </w:r>
    </w:p>
    <w:p w14:paraId="2142BA6F" w14:textId="77777777" w:rsidR="00223967" w:rsidRPr="00223967" w:rsidRDefault="00223967" w:rsidP="00223967">
      <w:pPr>
        <w:numPr>
          <w:ilvl w:val="0"/>
          <w:numId w:val="9"/>
        </w:numPr>
      </w:pPr>
      <w:r w:rsidRPr="00223967">
        <w:rPr>
          <w:lang w:val="fr-BE"/>
        </w:rPr>
        <w:t>U</w:t>
      </w:r>
      <w:r w:rsidR="002C53D4">
        <w:rPr>
          <w:lang w:val="fr-BE"/>
        </w:rPr>
        <w:t xml:space="preserve">n plan d’action est disponible </w:t>
      </w:r>
      <w:r w:rsidR="008E3658">
        <w:rPr>
          <w:lang w:val="fr-BE"/>
        </w:rPr>
        <w:t xml:space="preserve">sur </w:t>
      </w:r>
      <w:r w:rsidR="008E3658" w:rsidRPr="00223967">
        <w:rPr>
          <w:lang w:val="fr-BE"/>
        </w:rPr>
        <w:t>les</w:t>
      </w:r>
      <w:r w:rsidRPr="00223967">
        <w:rPr>
          <w:lang w:val="fr-BE"/>
        </w:rPr>
        <w:t xml:space="preserve"> initiatives d’autonomisation de l’U</w:t>
      </w:r>
      <w:r w:rsidR="002C53D4">
        <w:rPr>
          <w:lang w:val="fr-BE"/>
        </w:rPr>
        <w:t xml:space="preserve">NT sur le long-terme </w:t>
      </w:r>
      <w:r w:rsidR="008E3658">
        <w:rPr>
          <w:lang w:val="fr-BE"/>
        </w:rPr>
        <w:t xml:space="preserve">avec </w:t>
      </w:r>
      <w:r w:rsidR="008E3658" w:rsidRPr="00223967">
        <w:rPr>
          <w:lang w:val="fr-BE"/>
        </w:rPr>
        <w:t>des</w:t>
      </w:r>
      <w:r w:rsidRPr="00223967">
        <w:rPr>
          <w:lang w:val="fr-BE"/>
        </w:rPr>
        <w:t xml:space="preserve"> points d’actions pour chaque partie prenante</w:t>
      </w:r>
    </w:p>
    <w:p w14:paraId="102C2ED8" w14:textId="7971F339" w:rsidR="0005180B" w:rsidRDefault="0005180B" w:rsidP="00DE706A">
      <w:pPr>
        <w:pStyle w:val="Titre1"/>
      </w:pPr>
      <w:proofErr w:type="spellStart"/>
      <w:r>
        <w:t>Déliverables</w:t>
      </w:r>
      <w:proofErr w:type="spellEnd"/>
    </w:p>
    <w:p w14:paraId="0E7C465E" w14:textId="5291C161" w:rsidR="0005180B" w:rsidRDefault="0005180B" w:rsidP="00DE706A">
      <w:pPr>
        <w:pStyle w:val="Paragraphedeliste"/>
        <w:numPr>
          <w:ilvl w:val="0"/>
          <w:numId w:val="17"/>
        </w:numPr>
      </w:pPr>
      <w:r>
        <w:t>Chronogramme de travail au jour assorti d’un plan d’achat et d’un prévision budgétaire claire (en lien avec le Responsable Programme)</w:t>
      </w:r>
    </w:p>
    <w:p w14:paraId="6D68601A" w14:textId="7E95369B" w:rsidR="0005180B" w:rsidRDefault="0005180B" w:rsidP="00DE706A">
      <w:pPr>
        <w:pStyle w:val="Paragraphedeliste"/>
        <w:numPr>
          <w:ilvl w:val="0"/>
          <w:numId w:val="17"/>
        </w:numPr>
      </w:pPr>
      <w:proofErr w:type="spellStart"/>
      <w:r>
        <w:t>TdR</w:t>
      </w:r>
      <w:proofErr w:type="spellEnd"/>
      <w:r>
        <w:t xml:space="preserve"> des 2 ateliers de travail</w:t>
      </w:r>
    </w:p>
    <w:p w14:paraId="3D5CC2DB" w14:textId="47E8670C" w:rsidR="0005180B" w:rsidRDefault="0005180B" w:rsidP="00DE706A">
      <w:pPr>
        <w:pStyle w:val="Paragraphedeliste"/>
        <w:numPr>
          <w:ilvl w:val="0"/>
          <w:numId w:val="17"/>
        </w:numPr>
      </w:pPr>
      <w:r>
        <w:t>Rapports des 2 ateliers de travail</w:t>
      </w:r>
    </w:p>
    <w:p w14:paraId="39C61BC4" w14:textId="4B534D76" w:rsidR="0005180B" w:rsidRDefault="0005180B" w:rsidP="00DE706A">
      <w:pPr>
        <w:pStyle w:val="Paragraphedeliste"/>
        <w:numPr>
          <w:ilvl w:val="0"/>
          <w:numId w:val="17"/>
        </w:numPr>
      </w:pPr>
      <w:r>
        <w:t>Rapport d’évaluation du coût de fonctionnement</w:t>
      </w:r>
    </w:p>
    <w:p w14:paraId="726F0CAB" w14:textId="55CF756B" w:rsidR="0005180B" w:rsidRDefault="0005180B" w:rsidP="00DE706A">
      <w:pPr>
        <w:pStyle w:val="Paragraphedeliste"/>
        <w:numPr>
          <w:ilvl w:val="0"/>
          <w:numId w:val="17"/>
        </w:numPr>
      </w:pPr>
      <w:proofErr w:type="spellStart"/>
      <w:r>
        <w:t>TdR</w:t>
      </w:r>
      <w:proofErr w:type="spellEnd"/>
      <w:r>
        <w:t xml:space="preserve"> de l’atelier de restitution</w:t>
      </w:r>
    </w:p>
    <w:p w14:paraId="12D863A3" w14:textId="7130034F" w:rsidR="0005180B" w:rsidRDefault="0005180B" w:rsidP="00DE706A">
      <w:pPr>
        <w:pStyle w:val="Paragraphedeliste"/>
        <w:numPr>
          <w:ilvl w:val="0"/>
          <w:numId w:val="17"/>
        </w:numPr>
      </w:pPr>
      <w:r>
        <w:t>Rapport de l’atelier de restitution</w:t>
      </w:r>
    </w:p>
    <w:p w14:paraId="23BD1BE2" w14:textId="01ED38E9" w:rsidR="00FC6EA4" w:rsidRDefault="0005180B" w:rsidP="00FC6EA4">
      <w:pPr>
        <w:pStyle w:val="Paragraphedeliste"/>
        <w:numPr>
          <w:ilvl w:val="0"/>
          <w:numId w:val="17"/>
        </w:numPr>
      </w:pPr>
      <w:r>
        <w:t>Plan d’action</w:t>
      </w:r>
    </w:p>
    <w:p w14:paraId="04AD0629" w14:textId="77777777" w:rsidR="00FC6EA4" w:rsidRDefault="00FC6EA4" w:rsidP="000629D9">
      <w:pPr>
        <w:pStyle w:val="Paragraphedeliste"/>
      </w:pPr>
    </w:p>
    <w:p w14:paraId="4DD132F9" w14:textId="6CA133E8" w:rsidR="00223967" w:rsidRPr="00223967" w:rsidRDefault="00223967" w:rsidP="00DE706A">
      <w:pPr>
        <w:pStyle w:val="Titre1"/>
      </w:pPr>
      <w:r w:rsidRPr="00223967">
        <w:t>Profil du consultant</w:t>
      </w:r>
    </w:p>
    <w:p w14:paraId="6D9D4ADA" w14:textId="77777777" w:rsidR="00223967" w:rsidRPr="00980E47" w:rsidRDefault="0035166D" w:rsidP="00223967">
      <w:pPr>
        <w:rPr>
          <w:b/>
          <w:color w:val="0070C0"/>
        </w:rPr>
      </w:pPr>
      <w:r>
        <w:rPr>
          <w:b/>
          <w:color w:val="0070C0"/>
        </w:rPr>
        <w:t>Formation</w:t>
      </w:r>
      <w:r w:rsidR="00223967" w:rsidRPr="00980E47">
        <w:rPr>
          <w:b/>
          <w:color w:val="0070C0"/>
        </w:rPr>
        <w:t xml:space="preserve"> : </w:t>
      </w:r>
    </w:p>
    <w:p w14:paraId="464D8994" w14:textId="31B096AF" w:rsidR="00223967" w:rsidRPr="00223967" w:rsidRDefault="00A71D2C" w:rsidP="00223967">
      <w:pPr>
        <w:numPr>
          <w:ilvl w:val="0"/>
          <w:numId w:val="8"/>
        </w:numPr>
      </w:pPr>
      <w:r>
        <w:t xml:space="preserve">Vous disposez d’un diplôme de professionnel de la santé avec une spécialisation en économie de la santé et/ ou </w:t>
      </w:r>
      <w:r w:rsidR="000629D9">
        <w:t>d</w:t>
      </w:r>
      <w:r w:rsidR="00223967" w:rsidRPr="00223967">
        <w:t xml:space="preserve">iplôme en économie de la santé </w:t>
      </w:r>
    </w:p>
    <w:p w14:paraId="7706B440" w14:textId="7618BC2F" w:rsidR="00223967" w:rsidRPr="00223967" w:rsidRDefault="00223967" w:rsidP="00DE706A">
      <w:pPr>
        <w:numPr>
          <w:ilvl w:val="0"/>
          <w:numId w:val="8"/>
        </w:numPr>
      </w:pPr>
      <w:r w:rsidRPr="00223967">
        <w:t>Diplôme en épidémiologie, ou suivi évaluation des programmes de santé constitue un atout.</w:t>
      </w:r>
    </w:p>
    <w:p w14:paraId="573DE127" w14:textId="77777777" w:rsidR="00223967" w:rsidRPr="00980E47" w:rsidRDefault="00223967" w:rsidP="00223967">
      <w:pPr>
        <w:rPr>
          <w:b/>
          <w:color w:val="0070C0"/>
        </w:rPr>
      </w:pPr>
      <w:r w:rsidRPr="00980E47">
        <w:rPr>
          <w:b/>
          <w:color w:val="0070C0"/>
        </w:rPr>
        <w:t>Expérience :</w:t>
      </w:r>
    </w:p>
    <w:p w14:paraId="69979595" w14:textId="0A1EAEAE" w:rsidR="00A71D2C" w:rsidRDefault="00A71D2C" w:rsidP="00223967">
      <w:pPr>
        <w:numPr>
          <w:ilvl w:val="0"/>
          <w:numId w:val="8"/>
        </w:numPr>
      </w:pPr>
      <w:r>
        <w:t>Au moins 2 ans d’expériences dans des fonctions similaires en lien avec économie de la santé</w:t>
      </w:r>
    </w:p>
    <w:p w14:paraId="45246F54" w14:textId="77777777" w:rsidR="00223967" w:rsidRPr="00223967" w:rsidRDefault="00223967" w:rsidP="00223967">
      <w:pPr>
        <w:numPr>
          <w:ilvl w:val="0"/>
          <w:numId w:val="8"/>
        </w:numPr>
      </w:pPr>
      <w:r w:rsidRPr="00223967">
        <w:t xml:space="preserve">Au moins 2 ans d’expérience </w:t>
      </w:r>
      <w:r w:rsidR="00AF5BF9">
        <w:t xml:space="preserve">dans </w:t>
      </w:r>
      <w:r w:rsidRPr="00223967">
        <w:t xml:space="preserve">le renforcement du système de santé </w:t>
      </w:r>
    </w:p>
    <w:p w14:paraId="21CFCDD9" w14:textId="662FE238" w:rsidR="00223967" w:rsidRDefault="00223967" w:rsidP="00223967">
      <w:pPr>
        <w:numPr>
          <w:ilvl w:val="0"/>
          <w:numId w:val="8"/>
        </w:numPr>
      </w:pPr>
      <w:r w:rsidRPr="00223967">
        <w:t>Au moins 5 ans d’expérience professionnelle dans le secteur de la santé dans les pays en développement.</w:t>
      </w:r>
    </w:p>
    <w:p w14:paraId="560659FB" w14:textId="1A13CBF3" w:rsidR="0005180B" w:rsidRDefault="0005180B" w:rsidP="00223967">
      <w:pPr>
        <w:numPr>
          <w:ilvl w:val="0"/>
          <w:numId w:val="8"/>
        </w:numPr>
      </w:pPr>
      <w:r>
        <w:lastRenderedPageBreak/>
        <w:t>Connaissance du contexte centrafricain serait un plus</w:t>
      </w:r>
    </w:p>
    <w:p w14:paraId="6C215484" w14:textId="1989DE67" w:rsidR="0005180B" w:rsidRPr="00DE706A" w:rsidRDefault="0005180B" w:rsidP="00DE706A">
      <w:pPr>
        <w:rPr>
          <w:b/>
          <w:color w:val="0070C0"/>
        </w:rPr>
      </w:pPr>
      <w:r w:rsidRPr="00DE706A">
        <w:rPr>
          <w:b/>
          <w:color w:val="0070C0"/>
        </w:rPr>
        <w:t>Compétences transversales :</w:t>
      </w:r>
    </w:p>
    <w:p w14:paraId="21244F6E" w14:textId="77777777" w:rsidR="0005180B" w:rsidRDefault="0005180B" w:rsidP="0005180B">
      <w:r>
        <w:t>-</w:t>
      </w:r>
      <w:r>
        <w:tab/>
        <w:t xml:space="preserve">Excellente communication, excellente capacité d’écoute et de médiation, aisance à l’oral </w:t>
      </w:r>
    </w:p>
    <w:p w14:paraId="0907F82B" w14:textId="3638344B" w:rsidR="0005180B" w:rsidRDefault="0005180B" w:rsidP="0005180B">
      <w:r>
        <w:t>-</w:t>
      </w:r>
      <w:r>
        <w:tab/>
        <w:t>Enthousiasme fort pour le travail collaboratif</w:t>
      </w:r>
    </w:p>
    <w:p w14:paraId="11C84EDC" w14:textId="77777777" w:rsidR="0005180B" w:rsidRDefault="0005180B" w:rsidP="0005180B">
      <w:r>
        <w:t>-</w:t>
      </w:r>
      <w:r>
        <w:tab/>
        <w:t>Excellente capacités rédactionnelles et de synthèse, capacités à vulgariser</w:t>
      </w:r>
    </w:p>
    <w:p w14:paraId="4C85FB1A" w14:textId="77777777" w:rsidR="0005180B" w:rsidRDefault="0005180B" w:rsidP="0005180B">
      <w:r>
        <w:t>-</w:t>
      </w:r>
      <w:r>
        <w:tab/>
        <w:t>Proactivité et autonomie sont essentielles</w:t>
      </w:r>
    </w:p>
    <w:p w14:paraId="5925CA17" w14:textId="4AFF0297" w:rsidR="0005180B" w:rsidRPr="00223967" w:rsidRDefault="0005180B" w:rsidP="00DE706A">
      <w:r>
        <w:t>-</w:t>
      </w:r>
      <w:r>
        <w:tab/>
        <w:t>Capacité à travailler en équipe de manière interdisciplinaire</w:t>
      </w:r>
    </w:p>
    <w:p w14:paraId="3C18B9A0" w14:textId="77777777" w:rsidR="00223967" w:rsidRPr="00223967" w:rsidRDefault="00223967" w:rsidP="00223967">
      <w:r w:rsidRPr="00223967">
        <w:t xml:space="preserve"> </w:t>
      </w:r>
    </w:p>
    <w:p w14:paraId="1B960705" w14:textId="77777777" w:rsidR="00953328" w:rsidRDefault="00953328"/>
    <w:sectPr w:rsidR="00953328" w:rsidSect="00C351B3">
      <w:headerReference w:type="default" r:id="rId12"/>
      <w:pgSz w:w="11906" w:h="16838"/>
      <w:pgMar w:top="125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264F8" w14:textId="77777777" w:rsidR="008B032F" w:rsidRDefault="008B032F" w:rsidP="00C351B3">
      <w:pPr>
        <w:spacing w:after="0" w:line="240" w:lineRule="auto"/>
      </w:pPr>
      <w:r>
        <w:separator/>
      </w:r>
    </w:p>
  </w:endnote>
  <w:endnote w:type="continuationSeparator" w:id="0">
    <w:p w14:paraId="72FA5AA6" w14:textId="77777777" w:rsidR="008B032F" w:rsidRDefault="008B032F" w:rsidP="00C3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79C45" w14:textId="77777777" w:rsidR="008B032F" w:rsidRDefault="008B032F" w:rsidP="00C351B3">
      <w:pPr>
        <w:spacing w:after="0" w:line="240" w:lineRule="auto"/>
      </w:pPr>
      <w:r>
        <w:separator/>
      </w:r>
    </w:p>
  </w:footnote>
  <w:footnote w:type="continuationSeparator" w:id="0">
    <w:p w14:paraId="65071CA2" w14:textId="77777777" w:rsidR="008B032F" w:rsidRDefault="008B032F" w:rsidP="00C35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06AA2" w14:textId="3530FF3C" w:rsidR="00C351B3" w:rsidRDefault="00C351B3">
    <w:pPr>
      <w:pStyle w:val="En-tte"/>
    </w:pPr>
    <w:r w:rsidRPr="006D5037">
      <w:rPr>
        <w:rFonts w:ascii="Arial Narrow" w:hAnsi="Arial Narrow"/>
        <w:b/>
        <w:noProof/>
        <w:color w:val="ED7D31" w:themeColor="accent2"/>
        <w:sz w:val="40"/>
        <w:szCs w:val="40"/>
        <w:lang w:eastAsia="fr-FR"/>
      </w:rPr>
      <w:drawing>
        <wp:anchor distT="0" distB="0" distL="114300" distR="114300" simplePos="0" relativeHeight="251659264" behindDoc="1" locked="0" layoutInCell="1" allowOverlap="1" wp14:anchorId="33BC7C23" wp14:editId="2DF8FDD4">
          <wp:simplePos x="0" y="0"/>
          <wp:positionH relativeFrom="margin">
            <wp:posOffset>4702175</wp:posOffset>
          </wp:positionH>
          <wp:positionV relativeFrom="margin">
            <wp:posOffset>-690880</wp:posOffset>
          </wp:positionV>
          <wp:extent cx="1050290" cy="674370"/>
          <wp:effectExtent l="0" t="0" r="0" b="0"/>
          <wp:wrapTight wrapText="bothSides">
            <wp:wrapPolygon edited="0">
              <wp:start x="2351" y="0"/>
              <wp:lineTo x="0" y="3661"/>
              <wp:lineTo x="0" y="6712"/>
              <wp:lineTo x="2742" y="10373"/>
              <wp:lineTo x="392" y="12814"/>
              <wp:lineTo x="0" y="17085"/>
              <wp:lineTo x="1175" y="20136"/>
              <wp:lineTo x="2351" y="20746"/>
              <wp:lineTo x="4701" y="20746"/>
              <wp:lineTo x="21156" y="18915"/>
              <wp:lineTo x="21156" y="4271"/>
              <wp:lineTo x="20372" y="4271"/>
              <wp:lineTo x="4701" y="0"/>
              <wp:lineTo x="2351"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_Co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0290" cy="6743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3A81"/>
    <w:multiLevelType w:val="hybridMultilevel"/>
    <w:tmpl w:val="404AD47C"/>
    <w:lvl w:ilvl="0" w:tplc="4C641082">
      <w:start w:val="1"/>
      <w:numFmt w:val="low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B045EF"/>
    <w:multiLevelType w:val="hybridMultilevel"/>
    <w:tmpl w:val="F01CE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215966"/>
    <w:multiLevelType w:val="hybridMultilevel"/>
    <w:tmpl w:val="88B05A40"/>
    <w:lvl w:ilvl="0" w:tplc="AEB2956E">
      <w:start w:val="1"/>
      <w:numFmt w:val="decimal"/>
      <w:pStyle w:val="Titre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76E7120"/>
    <w:multiLevelType w:val="hybridMultilevel"/>
    <w:tmpl w:val="36585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791F4E"/>
    <w:multiLevelType w:val="hybridMultilevel"/>
    <w:tmpl w:val="49F6EC74"/>
    <w:lvl w:ilvl="0" w:tplc="040C0001">
      <w:start w:val="1"/>
      <w:numFmt w:val="bullet"/>
      <w:lvlText w:val=""/>
      <w:lvlJc w:val="left"/>
      <w:pPr>
        <w:ind w:left="1494" w:hanging="360"/>
      </w:pPr>
      <w:rPr>
        <w:rFonts w:ascii="Symbol" w:hAnsi="Symbol" w:hint="default"/>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313AFDBC">
      <w:start w:val="1"/>
      <w:numFmt w:val="lowerRoman"/>
      <w:lvlText w:val="(%4)"/>
      <w:lvlJc w:val="left"/>
      <w:pPr>
        <w:ind w:left="4014" w:hanging="720"/>
      </w:pPr>
      <w:rPr>
        <w:rFonts w:hint="default"/>
      </w:r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15:restartNumberingAfterBreak="0">
    <w:nsid w:val="445A79A5"/>
    <w:multiLevelType w:val="hybridMultilevel"/>
    <w:tmpl w:val="ADE4B782"/>
    <w:lvl w:ilvl="0" w:tplc="2E90977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6062454"/>
    <w:multiLevelType w:val="hybridMultilevel"/>
    <w:tmpl w:val="EB4C535C"/>
    <w:lvl w:ilvl="0" w:tplc="4B1E51EA">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56D4C"/>
    <w:multiLevelType w:val="hybridMultilevel"/>
    <w:tmpl w:val="786E6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611159"/>
    <w:multiLevelType w:val="hybridMultilevel"/>
    <w:tmpl w:val="7A848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3B2EAC"/>
    <w:multiLevelType w:val="hybridMultilevel"/>
    <w:tmpl w:val="5486E92C"/>
    <w:lvl w:ilvl="0" w:tplc="2E90977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6184343"/>
    <w:multiLevelType w:val="hybridMultilevel"/>
    <w:tmpl w:val="423E9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180110"/>
    <w:multiLevelType w:val="hybridMultilevel"/>
    <w:tmpl w:val="F5FC480C"/>
    <w:lvl w:ilvl="0" w:tplc="08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8"/>
  </w:num>
  <w:num w:numId="5">
    <w:abstractNumId w:val="4"/>
  </w:num>
  <w:num w:numId="6">
    <w:abstractNumId w:val="7"/>
  </w:num>
  <w:num w:numId="7">
    <w:abstractNumId w:val="1"/>
  </w:num>
  <w:num w:numId="8">
    <w:abstractNumId w:val="6"/>
  </w:num>
  <w:num w:numId="9">
    <w:abstractNumId w:val="3"/>
  </w:num>
  <w:num w:numId="10">
    <w:abstractNumId w:val="2"/>
  </w:num>
  <w:num w:numId="11">
    <w:abstractNumId w:val="2"/>
  </w:num>
  <w:num w:numId="12">
    <w:abstractNumId w:val="2"/>
  </w:num>
  <w:num w:numId="13">
    <w:abstractNumId w:val="2"/>
  </w:num>
  <w:num w:numId="14">
    <w:abstractNumId w:val="2"/>
  </w:num>
  <w:num w:numId="15">
    <w:abstractNumId w:val="0"/>
  </w:num>
  <w:num w:numId="16">
    <w:abstractNumId w:val="0"/>
  </w:num>
  <w:num w:numId="17">
    <w:abstractNumId w:val="1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67"/>
    <w:rsid w:val="0005180B"/>
    <w:rsid w:val="000629D9"/>
    <w:rsid w:val="000945B2"/>
    <w:rsid w:val="000F2479"/>
    <w:rsid w:val="00192262"/>
    <w:rsid w:val="001B198B"/>
    <w:rsid w:val="00223967"/>
    <w:rsid w:val="002C53D4"/>
    <w:rsid w:val="002E6740"/>
    <w:rsid w:val="00307281"/>
    <w:rsid w:val="0035166D"/>
    <w:rsid w:val="003945CD"/>
    <w:rsid w:val="00470F8D"/>
    <w:rsid w:val="005B3612"/>
    <w:rsid w:val="006C7723"/>
    <w:rsid w:val="00877ACA"/>
    <w:rsid w:val="008A75E4"/>
    <w:rsid w:val="008B032F"/>
    <w:rsid w:val="008D6D03"/>
    <w:rsid w:val="008D7EAE"/>
    <w:rsid w:val="008E3658"/>
    <w:rsid w:val="008F2B12"/>
    <w:rsid w:val="00953328"/>
    <w:rsid w:val="009730CA"/>
    <w:rsid w:val="00980E47"/>
    <w:rsid w:val="00A32BA1"/>
    <w:rsid w:val="00A56D17"/>
    <w:rsid w:val="00A71D2C"/>
    <w:rsid w:val="00AF5BF9"/>
    <w:rsid w:val="00B95443"/>
    <w:rsid w:val="00BD5DEE"/>
    <w:rsid w:val="00BD7858"/>
    <w:rsid w:val="00C05156"/>
    <w:rsid w:val="00C351B3"/>
    <w:rsid w:val="00C5051A"/>
    <w:rsid w:val="00D249EB"/>
    <w:rsid w:val="00DE706A"/>
    <w:rsid w:val="00F06321"/>
    <w:rsid w:val="00F421E4"/>
    <w:rsid w:val="00FB7273"/>
    <w:rsid w:val="00FC6E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67905"/>
  <w15:chartTrackingRefBased/>
  <w15:docId w15:val="{F4FAD85E-FC9C-40A4-8F91-F9519DF8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967"/>
    <w:pPr>
      <w:spacing w:after="200" w:line="276" w:lineRule="auto"/>
      <w:jc w:val="both"/>
    </w:pPr>
    <w:rPr>
      <w:rFonts w:ascii="Lato" w:eastAsia="Calibri" w:hAnsi="Lato" w:cs="Times New Roman"/>
    </w:rPr>
  </w:style>
  <w:style w:type="paragraph" w:styleId="Titre1">
    <w:name w:val="heading 1"/>
    <w:basedOn w:val="Paragraphedeliste"/>
    <w:next w:val="Normal"/>
    <w:link w:val="Titre1Car"/>
    <w:uiPriority w:val="9"/>
    <w:qFormat/>
    <w:rsid w:val="00223967"/>
    <w:pPr>
      <w:numPr>
        <w:numId w:val="2"/>
      </w:numPr>
      <w:contextualSpacing w:val="0"/>
      <w:outlineLvl w:val="0"/>
    </w:pPr>
    <w:rPr>
      <w:rFonts w:cs="Times New Roman"/>
      <w:b/>
      <w:color w:val="52AE32"/>
      <w:sz w:val="24"/>
      <w:szCs w:val="24"/>
    </w:rPr>
  </w:style>
  <w:style w:type="paragraph" w:styleId="Titre2">
    <w:name w:val="heading 2"/>
    <w:basedOn w:val="Paragraphedeliste"/>
    <w:next w:val="Normal"/>
    <w:link w:val="Titre2Car"/>
    <w:uiPriority w:val="9"/>
    <w:unhideWhenUsed/>
    <w:qFormat/>
    <w:rsid w:val="00223967"/>
    <w:pPr>
      <w:numPr>
        <w:numId w:val="1"/>
      </w:numPr>
      <w:contextualSpacing w:val="0"/>
      <w:outlineLvl w:val="1"/>
    </w:pPr>
    <w:rPr>
      <w:rFonts w:cs="Times New Roman"/>
      <w:b/>
      <w:color w:val="005FB6"/>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3967"/>
    <w:rPr>
      <w:rFonts w:ascii="Lato" w:eastAsia="Calibri" w:hAnsi="Lato" w:cs="Times New Roman"/>
      <w:b/>
      <w:color w:val="52AE32"/>
      <w:sz w:val="24"/>
      <w:szCs w:val="24"/>
    </w:rPr>
  </w:style>
  <w:style w:type="character" w:customStyle="1" w:styleId="Titre2Car">
    <w:name w:val="Titre 2 Car"/>
    <w:basedOn w:val="Policepardfaut"/>
    <w:link w:val="Titre2"/>
    <w:uiPriority w:val="9"/>
    <w:rsid w:val="00223967"/>
    <w:rPr>
      <w:rFonts w:ascii="Lato" w:eastAsia="Calibri" w:hAnsi="Lato" w:cs="Times New Roman"/>
      <w:b/>
      <w:color w:val="005FB6"/>
      <w:sz w:val="24"/>
      <w:szCs w:val="24"/>
    </w:rPr>
  </w:style>
  <w:style w:type="paragraph" w:styleId="Paragraphedeliste">
    <w:name w:val="List Paragraph"/>
    <w:aliases w:val="Lapis Bulleted List,References,List Paragraph (numbered (a)),Dot pt,F5 List Paragraph,List Paragraph1,No Spacing1,List Paragraph Char Char Char,Indicator Text,Numbered Para 1,Colorful List - Accent 11,Bullet Points,bulleted Jens"/>
    <w:basedOn w:val="Normal"/>
    <w:link w:val="ParagraphedelisteCar"/>
    <w:uiPriority w:val="34"/>
    <w:qFormat/>
    <w:rsid w:val="00223967"/>
    <w:pPr>
      <w:ind w:left="720"/>
      <w:contextualSpacing/>
    </w:pPr>
    <w:rPr>
      <w:rFonts w:cs="Arial"/>
    </w:rPr>
  </w:style>
  <w:style w:type="character" w:customStyle="1" w:styleId="ParagraphedelisteCar">
    <w:name w:val="Paragraphe de liste Car"/>
    <w:aliases w:val="Lapis Bulleted List Car,References Car,List Paragraph (numbered (a)) Car,Dot pt Car,F5 List Paragraph Car,List Paragraph1 Car,No Spacing1 Car,List Paragraph Char Char Char Car,Indicator Text Car,Numbered Para 1 Car"/>
    <w:link w:val="Paragraphedeliste"/>
    <w:uiPriority w:val="34"/>
    <w:locked/>
    <w:rsid w:val="00223967"/>
    <w:rPr>
      <w:rFonts w:ascii="Lato" w:eastAsia="Calibri" w:hAnsi="Lato" w:cs="Arial"/>
    </w:rPr>
  </w:style>
  <w:style w:type="paragraph" w:styleId="Textebrut">
    <w:name w:val="Plain Text"/>
    <w:basedOn w:val="Normal"/>
    <w:link w:val="TextebrutCar"/>
    <w:rsid w:val="00223967"/>
    <w:pPr>
      <w:spacing w:after="0" w:line="240" w:lineRule="auto"/>
      <w:jc w:val="left"/>
    </w:pPr>
    <w:rPr>
      <w:rFonts w:ascii="Courier New" w:eastAsia="Times New Roman" w:hAnsi="Courier New"/>
      <w:sz w:val="20"/>
      <w:szCs w:val="20"/>
    </w:rPr>
  </w:style>
  <w:style w:type="character" w:customStyle="1" w:styleId="TextebrutCar">
    <w:name w:val="Texte brut Car"/>
    <w:basedOn w:val="Policepardfaut"/>
    <w:link w:val="Textebrut"/>
    <w:rsid w:val="00223967"/>
    <w:rPr>
      <w:rFonts w:ascii="Courier New" w:eastAsia="Times New Roman" w:hAnsi="Courier New" w:cs="Times New Roman"/>
      <w:sz w:val="20"/>
      <w:szCs w:val="20"/>
    </w:rPr>
  </w:style>
  <w:style w:type="character" w:styleId="Marquedecommentaire">
    <w:name w:val="annotation reference"/>
    <w:basedOn w:val="Policepardfaut"/>
    <w:uiPriority w:val="99"/>
    <w:semiHidden/>
    <w:unhideWhenUsed/>
    <w:rsid w:val="00AF5BF9"/>
    <w:rPr>
      <w:sz w:val="16"/>
      <w:szCs w:val="16"/>
    </w:rPr>
  </w:style>
  <w:style w:type="paragraph" w:styleId="Commentaire">
    <w:name w:val="annotation text"/>
    <w:basedOn w:val="Normal"/>
    <w:link w:val="CommentaireCar"/>
    <w:uiPriority w:val="99"/>
    <w:semiHidden/>
    <w:unhideWhenUsed/>
    <w:rsid w:val="00AF5BF9"/>
    <w:pPr>
      <w:spacing w:line="240" w:lineRule="auto"/>
    </w:pPr>
    <w:rPr>
      <w:sz w:val="20"/>
      <w:szCs w:val="20"/>
    </w:rPr>
  </w:style>
  <w:style w:type="character" w:customStyle="1" w:styleId="CommentaireCar">
    <w:name w:val="Commentaire Car"/>
    <w:basedOn w:val="Policepardfaut"/>
    <w:link w:val="Commentaire"/>
    <w:uiPriority w:val="99"/>
    <w:semiHidden/>
    <w:rsid w:val="00AF5BF9"/>
    <w:rPr>
      <w:rFonts w:ascii="Lato" w:eastAsia="Calibri" w:hAnsi="Lato" w:cs="Times New Roman"/>
      <w:sz w:val="20"/>
      <w:szCs w:val="20"/>
    </w:rPr>
  </w:style>
  <w:style w:type="paragraph" w:styleId="Objetducommentaire">
    <w:name w:val="annotation subject"/>
    <w:basedOn w:val="Commentaire"/>
    <w:next w:val="Commentaire"/>
    <w:link w:val="ObjetducommentaireCar"/>
    <w:uiPriority w:val="99"/>
    <w:semiHidden/>
    <w:unhideWhenUsed/>
    <w:rsid w:val="00AF5BF9"/>
    <w:rPr>
      <w:b/>
      <w:bCs/>
    </w:rPr>
  </w:style>
  <w:style w:type="character" w:customStyle="1" w:styleId="ObjetducommentaireCar">
    <w:name w:val="Objet du commentaire Car"/>
    <w:basedOn w:val="CommentaireCar"/>
    <w:link w:val="Objetducommentaire"/>
    <w:uiPriority w:val="99"/>
    <w:semiHidden/>
    <w:rsid w:val="00AF5BF9"/>
    <w:rPr>
      <w:rFonts w:ascii="Lato" w:eastAsia="Calibri" w:hAnsi="Lato" w:cs="Times New Roman"/>
      <w:b/>
      <w:bCs/>
      <w:sz w:val="20"/>
      <w:szCs w:val="20"/>
    </w:rPr>
  </w:style>
  <w:style w:type="paragraph" w:styleId="Textedebulles">
    <w:name w:val="Balloon Text"/>
    <w:basedOn w:val="Normal"/>
    <w:link w:val="TextedebullesCar"/>
    <w:uiPriority w:val="99"/>
    <w:semiHidden/>
    <w:unhideWhenUsed/>
    <w:rsid w:val="00AF5B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5BF9"/>
    <w:rPr>
      <w:rFonts w:ascii="Segoe UI" w:eastAsia="Calibri" w:hAnsi="Segoe UI" w:cs="Segoe UI"/>
      <w:sz w:val="18"/>
      <w:szCs w:val="18"/>
    </w:rPr>
  </w:style>
  <w:style w:type="character" w:styleId="lev">
    <w:name w:val="Strong"/>
    <w:basedOn w:val="Policepardfaut"/>
    <w:uiPriority w:val="22"/>
    <w:qFormat/>
    <w:rsid w:val="00A71D2C"/>
    <w:rPr>
      <w:b/>
      <w:bCs/>
    </w:rPr>
  </w:style>
  <w:style w:type="character" w:styleId="Lienhypertexte">
    <w:name w:val="Hyperlink"/>
    <w:basedOn w:val="Policepardfaut"/>
    <w:uiPriority w:val="99"/>
    <w:unhideWhenUsed/>
    <w:rsid w:val="00A71D2C"/>
    <w:rPr>
      <w:color w:val="0000FF"/>
      <w:u w:val="single"/>
    </w:rPr>
  </w:style>
  <w:style w:type="character" w:styleId="Accentuation">
    <w:name w:val="Emphasis"/>
    <w:basedOn w:val="Policepardfaut"/>
    <w:uiPriority w:val="20"/>
    <w:qFormat/>
    <w:rsid w:val="00A71D2C"/>
    <w:rPr>
      <w:i/>
      <w:iCs/>
    </w:rPr>
  </w:style>
  <w:style w:type="paragraph" w:styleId="En-tte">
    <w:name w:val="header"/>
    <w:basedOn w:val="Normal"/>
    <w:link w:val="En-tteCar"/>
    <w:uiPriority w:val="99"/>
    <w:unhideWhenUsed/>
    <w:rsid w:val="00C351B3"/>
    <w:pPr>
      <w:tabs>
        <w:tab w:val="center" w:pos="4536"/>
        <w:tab w:val="right" w:pos="9072"/>
      </w:tabs>
      <w:spacing w:after="0" w:line="240" w:lineRule="auto"/>
    </w:pPr>
  </w:style>
  <w:style w:type="character" w:customStyle="1" w:styleId="En-tteCar">
    <w:name w:val="En-tête Car"/>
    <w:basedOn w:val="Policepardfaut"/>
    <w:link w:val="En-tte"/>
    <w:uiPriority w:val="99"/>
    <w:rsid w:val="00C351B3"/>
    <w:rPr>
      <w:rFonts w:ascii="Lato" w:eastAsia="Calibri" w:hAnsi="Lato" w:cs="Times New Roman"/>
    </w:rPr>
  </w:style>
  <w:style w:type="paragraph" w:styleId="Pieddepage">
    <w:name w:val="footer"/>
    <w:basedOn w:val="Normal"/>
    <w:link w:val="PieddepageCar"/>
    <w:uiPriority w:val="99"/>
    <w:unhideWhenUsed/>
    <w:rsid w:val="00C351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1B3"/>
    <w:rPr>
      <w:rFonts w:ascii="Lato" w:eastAsia="Calibri" w:hAnsi="Lat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reire@actioncontrelafaim.org" TargetMode="External"/><Relationship Id="rId5" Type="http://schemas.openxmlformats.org/officeDocument/2006/relationships/styles" Target="styles.xml"/><Relationship Id="rId10" Type="http://schemas.openxmlformats.org/officeDocument/2006/relationships/hyperlink" Target="mailto:cantoine@actioncontrelafai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DDA0E29E06841BC03D401307A78A3" ma:contentTypeVersion="10" ma:contentTypeDescription="Crée un document." ma:contentTypeScope="" ma:versionID="1ac52e85976676948bd888e77c95547d">
  <xsd:schema xmlns:xsd="http://www.w3.org/2001/XMLSchema" xmlns:xs="http://www.w3.org/2001/XMLSchema" xmlns:p="http://schemas.microsoft.com/office/2006/metadata/properties" xmlns:ns3="04f39163-43f5-4523-973d-ba7ce76afd39" xmlns:ns4="de64ab87-c12b-44db-9e50-3465ae399caa" targetNamespace="http://schemas.microsoft.com/office/2006/metadata/properties" ma:root="true" ma:fieldsID="1d29b056672982680f8b0447b7709261" ns3:_="" ns4:_="">
    <xsd:import namespace="04f39163-43f5-4523-973d-ba7ce76afd39"/>
    <xsd:import namespace="de64ab87-c12b-44db-9e50-3465ae399c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39163-43f5-4523-973d-ba7ce76af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64ab87-c12b-44db-9e50-3465ae399caa"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B62C9-C02C-4161-B618-46F27E070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39163-43f5-4523-973d-ba7ce76afd39"/>
    <ds:schemaRef ds:uri="de64ab87-c12b-44db-9e50-3465ae39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81EB4-0E37-4FD2-92E4-4B6AE8C45C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C30F02-A4BE-44F5-94BA-CEA2990E11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1102</Words>
  <Characters>6065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Action Contre La Faim</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 SIRIKI</dc:creator>
  <cp:keywords/>
  <dc:description/>
  <cp:lastModifiedBy>Xavier Gvelesiani</cp:lastModifiedBy>
  <cp:revision>7</cp:revision>
  <cp:lastPrinted>2019-08-23T12:41:00Z</cp:lastPrinted>
  <dcterms:created xsi:type="dcterms:W3CDTF">2019-08-23T09:39:00Z</dcterms:created>
  <dcterms:modified xsi:type="dcterms:W3CDTF">2019-08-23T12:41:00Z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0x010100AFDDDA0E29E06841BC03D401307A78A3</vt:lpwstr>
  </property>
</Properties>
</file>